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5CF" w:rsidRDefault="0019507B" w:rsidP="00B3662C">
      <w:pPr>
        <w:jc w:val="center"/>
        <w:rPr>
          <w:rFonts w:ascii="Arial" w:hAnsi="Arial" w:cs="Arial"/>
          <w:b/>
        </w:rPr>
      </w:pPr>
      <w:r w:rsidRPr="008704B4">
        <w:rPr>
          <w:rFonts w:ascii="Tahoma" w:hAnsi="Tahoma" w:cs="Tahoma"/>
          <w:noProof/>
          <w:lang w:eastAsia="en-GB"/>
        </w:rPr>
        <w:drawing>
          <wp:inline distT="0" distB="0" distL="0" distR="0" wp14:anchorId="62AE4C5A" wp14:editId="53B4147A">
            <wp:extent cx="2632075"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16942"/>
                    <a:stretch>
                      <a:fillRect/>
                    </a:stretch>
                  </pic:blipFill>
                  <pic:spPr bwMode="auto">
                    <a:xfrm>
                      <a:off x="0" y="0"/>
                      <a:ext cx="2632075" cy="748030"/>
                    </a:xfrm>
                    <a:prstGeom prst="rect">
                      <a:avLst/>
                    </a:prstGeom>
                    <a:noFill/>
                    <a:ln>
                      <a:noFill/>
                    </a:ln>
                  </pic:spPr>
                </pic:pic>
              </a:graphicData>
            </a:graphic>
          </wp:inline>
        </w:drawing>
      </w:r>
    </w:p>
    <w:p w:rsidR="00B3662C" w:rsidRDefault="00B3662C" w:rsidP="00B3662C">
      <w:pPr>
        <w:jc w:val="center"/>
        <w:rPr>
          <w:rFonts w:ascii="Arial" w:hAnsi="Arial" w:cs="Arial"/>
          <w:b/>
        </w:rPr>
      </w:pPr>
    </w:p>
    <w:p w:rsidR="002F25CF" w:rsidRPr="002F25CF" w:rsidRDefault="002F25CF">
      <w:pPr>
        <w:rPr>
          <w:rFonts w:ascii="Arial" w:hAnsi="Arial" w:cs="Arial"/>
          <w:b/>
        </w:rPr>
      </w:pPr>
      <w:r w:rsidRPr="002F25CF">
        <w:rPr>
          <w:rFonts w:ascii="Arial" w:hAnsi="Arial" w:cs="Arial"/>
          <w:b/>
        </w:rPr>
        <w:t>Minutes of the Strategic Advisory Board 10</w:t>
      </w:r>
      <w:r w:rsidRPr="002F25CF">
        <w:rPr>
          <w:rFonts w:ascii="Arial" w:hAnsi="Arial" w:cs="Arial"/>
          <w:b/>
          <w:vertAlign w:val="superscript"/>
        </w:rPr>
        <w:t>th</w:t>
      </w:r>
      <w:r w:rsidRPr="002F25CF">
        <w:rPr>
          <w:rFonts w:ascii="Arial" w:hAnsi="Arial" w:cs="Arial"/>
          <w:b/>
        </w:rPr>
        <w:t xml:space="preserve"> April 2014</w:t>
      </w:r>
    </w:p>
    <w:p w:rsidR="002F25CF" w:rsidRPr="002F25CF" w:rsidRDefault="002F25CF">
      <w:pPr>
        <w:rPr>
          <w:rFonts w:ascii="Arial" w:hAnsi="Arial" w:cs="Arial"/>
          <w:b/>
        </w:rPr>
      </w:pPr>
      <w:r w:rsidRPr="002F25CF">
        <w:rPr>
          <w:rFonts w:ascii="Arial" w:hAnsi="Arial" w:cs="Arial"/>
          <w:b/>
        </w:rPr>
        <w:t>BTAS Offices, 2:00pm</w:t>
      </w:r>
    </w:p>
    <w:p w:rsidR="002F25CF" w:rsidRPr="002F25CF" w:rsidRDefault="002F25CF" w:rsidP="002F25CF">
      <w:pPr>
        <w:pStyle w:val="NoSpacing"/>
        <w:rPr>
          <w:rFonts w:ascii="Arial" w:hAnsi="Arial" w:cs="Arial"/>
        </w:rPr>
      </w:pPr>
      <w:r w:rsidRPr="002F25CF">
        <w:rPr>
          <w:rFonts w:ascii="Arial" w:hAnsi="Arial" w:cs="Arial"/>
        </w:rPr>
        <w:t>Present: Malcolm Cohen, Vanessa Davies, Clare Dodgson, Emir Feisal, Sheila Hollingworth, Joan Martin and Heather Rogers.</w:t>
      </w:r>
    </w:p>
    <w:p w:rsidR="002F25CF" w:rsidRDefault="002F25CF" w:rsidP="002F25CF">
      <w:pPr>
        <w:pStyle w:val="NoSpacing"/>
        <w:rPr>
          <w:rFonts w:ascii="Arial" w:hAnsi="Arial" w:cs="Arial"/>
        </w:rPr>
      </w:pPr>
    </w:p>
    <w:p w:rsidR="00FF5EEC" w:rsidRDefault="002F25CF" w:rsidP="002F25CF">
      <w:pPr>
        <w:pStyle w:val="NoSpacing"/>
        <w:rPr>
          <w:rFonts w:ascii="Arial" w:hAnsi="Arial" w:cs="Arial"/>
        </w:rPr>
      </w:pPr>
      <w:r w:rsidRPr="002F25CF">
        <w:rPr>
          <w:rFonts w:ascii="Arial" w:hAnsi="Arial" w:cs="Arial"/>
        </w:rPr>
        <w:t>Apologies: His Honour Stuart Sleeman</w:t>
      </w:r>
      <w:r>
        <w:rPr>
          <w:rFonts w:ascii="Arial" w:hAnsi="Arial" w:cs="Arial"/>
        </w:rPr>
        <w:t xml:space="preserve">     </w:t>
      </w:r>
    </w:p>
    <w:p w:rsidR="00FF5EEC" w:rsidRDefault="00FF5EEC" w:rsidP="002F25CF">
      <w:pPr>
        <w:pStyle w:val="NoSpacing"/>
        <w:rPr>
          <w:rFonts w:ascii="Arial" w:hAnsi="Arial" w:cs="Arial"/>
        </w:rPr>
      </w:pPr>
    </w:p>
    <w:p w:rsidR="002F25CF" w:rsidRDefault="002F25CF" w:rsidP="002F25CF">
      <w:pPr>
        <w:pStyle w:val="NoSpacing"/>
        <w:rPr>
          <w:rFonts w:ascii="Arial" w:hAnsi="Arial" w:cs="Arial"/>
        </w:rPr>
      </w:pPr>
      <w:r w:rsidRPr="002F25CF">
        <w:rPr>
          <w:rFonts w:ascii="Arial" w:hAnsi="Arial" w:cs="Arial"/>
        </w:rPr>
        <w:t>In attendance: James Wakefield, Chandra Connaghan, Sakshi Chhabra</w:t>
      </w:r>
    </w:p>
    <w:p w:rsidR="002F25CF" w:rsidRDefault="002F25CF" w:rsidP="002F25CF">
      <w:pPr>
        <w:pStyle w:val="NoSpacing"/>
        <w:rPr>
          <w:rFonts w:ascii="Arial" w:hAnsi="Arial" w:cs="Arial"/>
        </w:rPr>
      </w:pPr>
    </w:p>
    <w:tbl>
      <w:tblPr>
        <w:tblStyle w:val="TableGrid"/>
        <w:tblW w:w="10129" w:type="dxa"/>
        <w:tblLook w:val="04A0" w:firstRow="1" w:lastRow="0" w:firstColumn="1" w:lastColumn="0" w:noHBand="0" w:noVBand="1"/>
      </w:tblPr>
      <w:tblGrid>
        <w:gridCol w:w="582"/>
        <w:gridCol w:w="8643"/>
        <w:gridCol w:w="904"/>
      </w:tblGrid>
      <w:tr w:rsidR="000029CE" w:rsidTr="000029CE">
        <w:trPr>
          <w:trHeight w:val="991"/>
        </w:trPr>
        <w:tc>
          <w:tcPr>
            <w:tcW w:w="582" w:type="dxa"/>
            <w:shd w:val="clear" w:color="auto" w:fill="auto"/>
          </w:tcPr>
          <w:p w:rsidR="000029CE" w:rsidRDefault="000029CE"/>
        </w:tc>
        <w:tc>
          <w:tcPr>
            <w:tcW w:w="8643" w:type="dxa"/>
            <w:shd w:val="clear" w:color="auto" w:fill="auto"/>
          </w:tcPr>
          <w:p w:rsidR="000029CE" w:rsidRDefault="000029CE" w:rsidP="000029CE">
            <w:pPr>
              <w:rPr>
                <w:rFonts w:ascii="Arial" w:hAnsi="Arial" w:cs="Arial"/>
                <w:b/>
              </w:rPr>
            </w:pPr>
          </w:p>
          <w:p w:rsidR="00FE4631" w:rsidRDefault="00FE4631" w:rsidP="000029CE">
            <w:pPr>
              <w:rPr>
                <w:rFonts w:ascii="Arial" w:hAnsi="Arial" w:cs="Arial"/>
                <w:b/>
              </w:rPr>
            </w:pPr>
            <w:r>
              <w:rPr>
                <w:rFonts w:ascii="Arial" w:hAnsi="Arial" w:cs="Arial"/>
                <w:b/>
              </w:rPr>
              <w:t>SAB Terms of Reference:</w:t>
            </w:r>
          </w:p>
          <w:p w:rsidR="00FE4631" w:rsidRPr="00FE4631" w:rsidRDefault="00FE4631" w:rsidP="000029CE">
            <w:pPr>
              <w:rPr>
                <w:rFonts w:ascii="Arial" w:hAnsi="Arial" w:cs="Arial"/>
                <w:b/>
              </w:rPr>
            </w:pPr>
          </w:p>
          <w:p w:rsidR="000029CE" w:rsidRDefault="000029CE" w:rsidP="000029CE">
            <w:pPr>
              <w:pStyle w:val="ListParagraph"/>
              <w:numPr>
                <w:ilvl w:val="0"/>
                <w:numId w:val="17"/>
              </w:numPr>
              <w:rPr>
                <w:rFonts w:ascii="Arial" w:hAnsi="Arial" w:cs="Arial"/>
              </w:rPr>
            </w:pPr>
            <w:r w:rsidRPr="000029CE">
              <w:rPr>
                <w:rFonts w:ascii="Arial" w:hAnsi="Arial" w:cs="Arial"/>
              </w:rPr>
              <w:t>The Terms of Reference to be amended as per the copy annexed.</w:t>
            </w:r>
          </w:p>
          <w:p w:rsidR="00FE4631" w:rsidRPr="000029CE" w:rsidRDefault="00FE4631" w:rsidP="00FE4631">
            <w:pPr>
              <w:pStyle w:val="ListParagraph"/>
              <w:rPr>
                <w:rFonts w:ascii="Arial" w:hAnsi="Arial" w:cs="Arial"/>
              </w:rPr>
            </w:pPr>
          </w:p>
        </w:tc>
        <w:tc>
          <w:tcPr>
            <w:tcW w:w="904" w:type="dxa"/>
            <w:shd w:val="clear" w:color="auto" w:fill="auto"/>
          </w:tcPr>
          <w:p w:rsidR="000029CE" w:rsidRDefault="000029CE"/>
        </w:tc>
      </w:tr>
      <w:tr w:rsidR="002F25CF" w:rsidTr="000029CE">
        <w:trPr>
          <w:trHeight w:val="1205"/>
        </w:trPr>
        <w:tc>
          <w:tcPr>
            <w:tcW w:w="582" w:type="dxa"/>
          </w:tcPr>
          <w:p w:rsidR="009732BA" w:rsidRDefault="009732BA" w:rsidP="002F25CF">
            <w:pPr>
              <w:pStyle w:val="NoSpacing"/>
              <w:rPr>
                <w:rFonts w:ascii="Arial" w:hAnsi="Arial" w:cs="Arial"/>
              </w:rPr>
            </w:pPr>
          </w:p>
          <w:p w:rsidR="002F25CF" w:rsidRDefault="002F25CF" w:rsidP="002F25CF">
            <w:pPr>
              <w:pStyle w:val="NoSpacing"/>
              <w:rPr>
                <w:rFonts w:ascii="Arial" w:hAnsi="Arial" w:cs="Arial"/>
              </w:rPr>
            </w:pPr>
            <w:r>
              <w:rPr>
                <w:rFonts w:ascii="Arial" w:hAnsi="Arial" w:cs="Arial"/>
              </w:rPr>
              <w:t>2</w:t>
            </w:r>
          </w:p>
        </w:tc>
        <w:tc>
          <w:tcPr>
            <w:tcW w:w="8643" w:type="dxa"/>
          </w:tcPr>
          <w:p w:rsidR="00A60459" w:rsidRPr="00653757" w:rsidRDefault="00A60459" w:rsidP="00653757">
            <w:pPr>
              <w:pStyle w:val="NoSpacing"/>
              <w:jc w:val="both"/>
              <w:rPr>
                <w:rFonts w:ascii="Arial" w:hAnsi="Arial" w:cs="Arial"/>
              </w:rPr>
            </w:pPr>
          </w:p>
          <w:p w:rsidR="0007547A" w:rsidRDefault="0007547A" w:rsidP="00653757">
            <w:pPr>
              <w:pStyle w:val="NoSpacing"/>
              <w:jc w:val="both"/>
              <w:rPr>
                <w:rFonts w:ascii="Arial" w:hAnsi="Arial" w:cs="Arial"/>
                <w:b/>
              </w:rPr>
            </w:pPr>
            <w:r w:rsidRPr="00653757">
              <w:rPr>
                <w:rFonts w:ascii="Arial" w:hAnsi="Arial" w:cs="Arial"/>
                <w:b/>
              </w:rPr>
              <w:t>SAB future ways of working:</w:t>
            </w:r>
          </w:p>
          <w:p w:rsidR="00032E9F" w:rsidRDefault="00032E9F" w:rsidP="00653757">
            <w:pPr>
              <w:pStyle w:val="NoSpacing"/>
              <w:jc w:val="both"/>
              <w:rPr>
                <w:rFonts w:ascii="Arial" w:hAnsi="Arial" w:cs="Arial"/>
                <w:b/>
              </w:rPr>
            </w:pPr>
          </w:p>
          <w:p w:rsidR="00032E9F" w:rsidRDefault="00032E9F" w:rsidP="00032E9F">
            <w:pPr>
              <w:pStyle w:val="NoSpacing"/>
              <w:numPr>
                <w:ilvl w:val="0"/>
                <w:numId w:val="10"/>
              </w:numPr>
              <w:jc w:val="both"/>
              <w:rPr>
                <w:rFonts w:ascii="Arial" w:hAnsi="Arial" w:cs="Arial"/>
              </w:rPr>
            </w:pPr>
            <w:r w:rsidRPr="00032E9F">
              <w:rPr>
                <w:rFonts w:ascii="Arial" w:hAnsi="Arial" w:cs="Arial"/>
              </w:rPr>
              <w:t>The Director of COIC and/</w:t>
            </w:r>
            <w:r w:rsidR="00B83A80">
              <w:rPr>
                <w:rFonts w:ascii="Arial" w:hAnsi="Arial" w:cs="Arial"/>
              </w:rPr>
              <w:t xml:space="preserve">or the Registrar shall report </w:t>
            </w:r>
            <w:r w:rsidRPr="00032E9F">
              <w:rPr>
                <w:rFonts w:ascii="Arial" w:hAnsi="Arial" w:cs="Arial"/>
              </w:rPr>
              <w:t>SAB advice to COIC.</w:t>
            </w:r>
          </w:p>
          <w:p w:rsidR="00B83A80" w:rsidRDefault="00B83A80" w:rsidP="00B83A80">
            <w:pPr>
              <w:pStyle w:val="NoSpacing"/>
              <w:ind w:left="644"/>
              <w:jc w:val="both"/>
              <w:rPr>
                <w:rFonts w:ascii="Arial" w:hAnsi="Arial" w:cs="Arial"/>
              </w:rPr>
            </w:pPr>
          </w:p>
          <w:p w:rsidR="00032E9F" w:rsidRPr="00032E9F" w:rsidRDefault="00B83A80" w:rsidP="00032E9F">
            <w:pPr>
              <w:pStyle w:val="NoSpacing"/>
              <w:numPr>
                <w:ilvl w:val="0"/>
                <w:numId w:val="10"/>
              </w:numPr>
              <w:jc w:val="both"/>
              <w:rPr>
                <w:rFonts w:ascii="Arial" w:hAnsi="Arial" w:cs="Arial"/>
              </w:rPr>
            </w:pPr>
            <w:r>
              <w:rPr>
                <w:rFonts w:ascii="Arial" w:hAnsi="Arial" w:cs="Arial"/>
              </w:rPr>
              <w:t>It is expected that the SAB chair will be invited to attend the COIC Board if the COIC Board is discussing important matters that have been considered by SAB. Further, it may be appropriate for the SAB chair to attend the COIC Board when the BTAS annual report is presented.</w:t>
            </w:r>
          </w:p>
          <w:p w:rsidR="00032E9F" w:rsidRPr="00653757" w:rsidRDefault="00032E9F" w:rsidP="00653757">
            <w:pPr>
              <w:pStyle w:val="NoSpacing"/>
              <w:jc w:val="both"/>
              <w:rPr>
                <w:rFonts w:ascii="Arial" w:hAnsi="Arial" w:cs="Arial"/>
                <w:b/>
              </w:rPr>
            </w:pPr>
          </w:p>
          <w:p w:rsidR="00A60459" w:rsidRPr="00653757" w:rsidRDefault="00A60459" w:rsidP="00653757">
            <w:pPr>
              <w:pStyle w:val="NoSpacing"/>
              <w:jc w:val="both"/>
              <w:rPr>
                <w:rFonts w:ascii="Arial" w:hAnsi="Arial" w:cs="Arial"/>
              </w:rPr>
            </w:pPr>
            <w:r w:rsidRPr="00653757">
              <w:rPr>
                <w:rFonts w:ascii="Arial" w:hAnsi="Arial" w:cs="Arial"/>
              </w:rPr>
              <w:t>Meetings:</w:t>
            </w:r>
          </w:p>
          <w:p w:rsidR="00A60459" w:rsidRPr="00653757" w:rsidRDefault="00A60459" w:rsidP="00653757">
            <w:pPr>
              <w:pStyle w:val="NoSpacing"/>
              <w:jc w:val="both"/>
              <w:rPr>
                <w:rFonts w:ascii="Arial" w:hAnsi="Arial" w:cs="Arial"/>
                <w:b/>
              </w:rPr>
            </w:pPr>
          </w:p>
          <w:p w:rsidR="00A60459" w:rsidRPr="00653757" w:rsidRDefault="00A60459" w:rsidP="00653757">
            <w:pPr>
              <w:pStyle w:val="NoSpacing"/>
              <w:numPr>
                <w:ilvl w:val="0"/>
                <w:numId w:val="2"/>
              </w:numPr>
              <w:jc w:val="both"/>
              <w:rPr>
                <w:rFonts w:ascii="Arial" w:hAnsi="Arial" w:cs="Arial"/>
              </w:rPr>
            </w:pPr>
            <w:r w:rsidRPr="00653757">
              <w:rPr>
                <w:rFonts w:ascii="Arial" w:hAnsi="Arial" w:cs="Arial"/>
              </w:rPr>
              <w:t>SAB meetings will be held q</w:t>
            </w:r>
            <w:r w:rsidR="00032E9F">
              <w:rPr>
                <w:rFonts w:ascii="Arial" w:hAnsi="Arial" w:cs="Arial"/>
              </w:rPr>
              <w:t>uarterly in the first year, and thereafter the frequency is to be reviewed.</w:t>
            </w:r>
          </w:p>
          <w:p w:rsidR="00A60459" w:rsidRPr="00653757" w:rsidRDefault="00A60459" w:rsidP="00653757">
            <w:pPr>
              <w:pStyle w:val="NoSpacing"/>
              <w:ind w:left="720"/>
              <w:jc w:val="both"/>
              <w:rPr>
                <w:rFonts w:ascii="Arial" w:hAnsi="Arial" w:cs="Arial"/>
              </w:rPr>
            </w:pPr>
          </w:p>
          <w:p w:rsidR="00A60459" w:rsidRPr="00653757" w:rsidRDefault="00A60459" w:rsidP="00653757">
            <w:pPr>
              <w:pStyle w:val="NoSpacing"/>
              <w:numPr>
                <w:ilvl w:val="0"/>
                <w:numId w:val="2"/>
              </w:numPr>
              <w:jc w:val="both"/>
              <w:rPr>
                <w:rFonts w:ascii="Arial" w:hAnsi="Arial" w:cs="Arial"/>
              </w:rPr>
            </w:pPr>
            <w:r w:rsidRPr="00653757">
              <w:rPr>
                <w:rFonts w:ascii="Arial" w:hAnsi="Arial" w:cs="Arial"/>
              </w:rPr>
              <w:t>The minutes of each meeting will be uploaded on the website for transparency and information.</w:t>
            </w:r>
          </w:p>
          <w:p w:rsidR="00A60459" w:rsidRPr="00653757" w:rsidRDefault="00A60459" w:rsidP="00653757">
            <w:pPr>
              <w:pStyle w:val="NoSpacing"/>
              <w:jc w:val="both"/>
              <w:rPr>
                <w:rFonts w:ascii="Arial" w:hAnsi="Arial" w:cs="Arial"/>
              </w:rPr>
            </w:pPr>
          </w:p>
          <w:p w:rsidR="00A60459" w:rsidRDefault="00A60459" w:rsidP="00653757">
            <w:pPr>
              <w:pStyle w:val="NoSpacing"/>
              <w:numPr>
                <w:ilvl w:val="0"/>
                <w:numId w:val="2"/>
              </w:numPr>
              <w:jc w:val="both"/>
              <w:rPr>
                <w:rFonts w:ascii="Arial" w:hAnsi="Arial" w:cs="Arial"/>
              </w:rPr>
            </w:pPr>
            <w:r w:rsidRPr="00032E9F">
              <w:rPr>
                <w:rFonts w:ascii="Arial" w:hAnsi="Arial" w:cs="Arial"/>
              </w:rPr>
              <w:t xml:space="preserve">Each SAB Member will have a short </w:t>
            </w:r>
            <w:r w:rsidR="00032E9F">
              <w:rPr>
                <w:rFonts w:ascii="Arial" w:hAnsi="Arial" w:cs="Arial"/>
              </w:rPr>
              <w:t>profile on the BTAS website.</w:t>
            </w:r>
          </w:p>
          <w:p w:rsidR="00032E9F" w:rsidRPr="00032E9F" w:rsidRDefault="00032E9F" w:rsidP="00032E9F">
            <w:pPr>
              <w:pStyle w:val="NoSpacing"/>
              <w:jc w:val="both"/>
              <w:rPr>
                <w:rFonts w:ascii="Arial" w:hAnsi="Arial" w:cs="Arial"/>
              </w:rPr>
            </w:pPr>
          </w:p>
          <w:p w:rsidR="00A60459" w:rsidRPr="00653757" w:rsidRDefault="001B566F" w:rsidP="00653757">
            <w:pPr>
              <w:pStyle w:val="NoSpacing"/>
              <w:numPr>
                <w:ilvl w:val="0"/>
                <w:numId w:val="2"/>
              </w:numPr>
              <w:jc w:val="both"/>
              <w:rPr>
                <w:rFonts w:ascii="Arial" w:hAnsi="Arial" w:cs="Arial"/>
              </w:rPr>
            </w:pPr>
            <w:r>
              <w:rPr>
                <w:rFonts w:ascii="Arial" w:hAnsi="Arial" w:cs="Arial"/>
              </w:rPr>
              <w:t xml:space="preserve">At each SAB meeting </w:t>
            </w:r>
            <w:r w:rsidR="00A60459" w:rsidRPr="00653757">
              <w:rPr>
                <w:rFonts w:ascii="Arial" w:hAnsi="Arial" w:cs="Arial"/>
              </w:rPr>
              <w:t>there must be minimum of three SAB members</w:t>
            </w:r>
            <w:bookmarkStart w:id="0" w:name="_GoBack"/>
            <w:bookmarkEnd w:id="0"/>
            <w:r w:rsidR="00A60459" w:rsidRPr="00653757">
              <w:rPr>
                <w:rFonts w:ascii="Arial" w:hAnsi="Arial" w:cs="Arial"/>
              </w:rPr>
              <w:t>, and out of the three, one must be a lay member.</w:t>
            </w:r>
          </w:p>
          <w:p w:rsidR="00A60459" w:rsidRPr="00653757" w:rsidRDefault="00A60459" w:rsidP="00653757">
            <w:pPr>
              <w:pStyle w:val="NoSpacing"/>
              <w:jc w:val="both"/>
              <w:rPr>
                <w:rFonts w:ascii="Arial" w:hAnsi="Arial" w:cs="Arial"/>
              </w:rPr>
            </w:pPr>
          </w:p>
          <w:p w:rsidR="00960088" w:rsidRDefault="00A60459" w:rsidP="00653757">
            <w:pPr>
              <w:pStyle w:val="NoSpacing"/>
              <w:numPr>
                <w:ilvl w:val="0"/>
                <w:numId w:val="2"/>
              </w:numPr>
              <w:jc w:val="both"/>
              <w:rPr>
                <w:rFonts w:ascii="Arial" w:hAnsi="Arial" w:cs="Arial"/>
              </w:rPr>
            </w:pPr>
            <w:r w:rsidRPr="00653757">
              <w:rPr>
                <w:rFonts w:ascii="Arial" w:hAnsi="Arial" w:cs="Arial"/>
              </w:rPr>
              <w:t>In the absence of the chair, another SAB</w:t>
            </w:r>
            <w:r w:rsidR="001B566F">
              <w:rPr>
                <w:rFonts w:ascii="Arial" w:hAnsi="Arial" w:cs="Arial"/>
              </w:rPr>
              <w:t xml:space="preserve"> lay </w:t>
            </w:r>
            <w:r w:rsidRPr="00653757">
              <w:rPr>
                <w:rFonts w:ascii="Arial" w:hAnsi="Arial" w:cs="Arial"/>
              </w:rPr>
              <w:t xml:space="preserve">member may take her place for the meeting. </w:t>
            </w:r>
          </w:p>
          <w:p w:rsidR="00032E9F" w:rsidRDefault="00032E9F" w:rsidP="00032E9F">
            <w:pPr>
              <w:pStyle w:val="ListParagraph"/>
              <w:rPr>
                <w:rFonts w:ascii="Arial" w:hAnsi="Arial" w:cs="Arial"/>
              </w:rPr>
            </w:pPr>
          </w:p>
          <w:p w:rsidR="00032E9F" w:rsidRDefault="000536BD" w:rsidP="000536BD">
            <w:pPr>
              <w:pStyle w:val="NoSpacing"/>
              <w:numPr>
                <w:ilvl w:val="0"/>
                <w:numId w:val="2"/>
              </w:numPr>
              <w:jc w:val="both"/>
              <w:rPr>
                <w:rFonts w:ascii="Arial" w:hAnsi="Arial" w:cs="Arial"/>
              </w:rPr>
            </w:pPr>
            <w:r w:rsidRPr="000536BD">
              <w:rPr>
                <w:rFonts w:ascii="Arial" w:hAnsi="Arial" w:cs="Arial"/>
              </w:rPr>
              <w:t>Members may, by exception, attend by telephone if necessary</w:t>
            </w:r>
            <w:r w:rsidR="006871CB">
              <w:rPr>
                <w:rFonts w:ascii="Arial" w:hAnsi="Arial" w:cs="Arial"/>
              </w:rPr>
              <w:t>.</w:t>
            </w:r>
          </w:p>
          <w:p w:rsidR="00032E9F" w:rsidRPr="00032E9F" w:rsidRDefault="00032E9F" w:rsidP="00032E9F">
            <w:pPr>
              <w:pStyle w:val="NoSpacing"/>
              <w:jc w:val="both"/>
              <w:rPr>
                <w:rFonts w:ascii="Arial" w:hAnsi="Arial" w:cs="Arial"/>
              </w:rPr>
            </w:pPr>
          </w:p>
          <w:p w:rsidR="0007547A" w:rsidRPr="000029CE" w:rsidRDefault="002807A2" w:rsidP="002807A2">
            <w:pPr>
              <w:pStyle w:val="NoSpacing"/>
              <w:numPr>
                <w:ilvl w:val="0"/>
                <w:numId w:val="2"/>
              </w:numPr>
              <w:jc w:val="both"/>
              <w:rPr>
                <w:rFonts w:ascii="Arial" w:hAnsi="Arial" w:cs="Arial"/>
              </w:rPr>
            </w:pPr>
            <w:r w:rsidRPr="000029CE">
              <w:rPr>
                <w:rFonts w:ascii="Arial" w:hAnsi="Arial" w:cs="Arial"/>
              </w:rPr>
              <w:t>Methods of reviewing the effectiveness of SAB will be considered at a future meeting. Such a review should take place annually.</w:t>
            </w:r>
          </w:p>
        </w:tc>
        <w:tc>
          <w:tcPr>
            <w:tcW w:w="904" w:type="dxa"/>
          </w:tcPr>
          <w:p w:rsidR="002F25CF" w:rsidRDefault="002F25CF" w:rsidP="002F25CF">
            <w:pPr>
              <w:pStyle w:val="NoSpacing"/>
              <w:rPr>
                <w:rFonts w:ascii="Arial" w:hAnsi="Arial" w:cs="Arial"/>
              </w:rPr>
            </w:pPr>
          </w:p>
          <w:p w:rsidR="001B566F" w:rsidRDefault="001B566F" w:rsidP="002F25CF">
            <w:pPr>
              <w:pStyle w:val="NoSpacing"/>
              <w:rPr>
                <w:rFonts w:ascii="Arial" w:hAnsi="Arial" w:cs="Arial"/>
              </w:rPr>
            </w:pPr>
          </w:p>
          <w:p w:rsidR="001B566F" w:rsidRDefault="001B566F" w:rsidP="002F25CF">
            <w:pPr>
              <w:pStyle w:val="NoSpacing"/>
              <w:rPr>
                <w:rFonts w:ascii="Arial" w:hAnsi="Arial" w:cs="Arial"/>
              </w:rPr>
            </w:pPr>
          </w:p>
          <w:p w:rsidR="001B566F" w:rsidRDefault="001B566F" w:rsidP="002F25CF">
            <w:pPr>
              <w:pStyle w:val="NoSpacing"/>
              <w:rPr>
                <w:rFonts w:ascii="Arial" w:hAnsi="Arial" w:cs="Arial"/>
              </w:rPr>
            </w:pPr>
          </w:p>
          <w:p w:rsidR="001B566F" w:rsidRDefault="001B566F" w:rsidP="002F25CF">
            <w:pPr>
              <w:pStyle w:val="NoSpacing"/>
              <w:rPr>
                <w:rFonts w:ascii="Arial" w:hAnsi="Arial" w:cs="Arial"/>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Pr="005C634B" w:rsidRDefault="001B566F" w:rsidP="002F25CF">
            <w:pPr>
              <w:pStyle w:val="NoSpacing"/>
              <w:rPr>
                <w:rFonts w:ascii="Arial" w:hAnsi="Arial" w:cs="Arial"/>
                <w:b/>
              </w:rPr>
            </w:pPr>
          </w:p>
          <w:p w:rsidR="001B566F" w:rsidRDefault="001B566F" w:rsidP="002F25CF">
            <w:pPr>
              <w:pStyle w:val="NoSpacing"/>
              <w:rPr>
                <w:rFonts w:ascii="Arial" w:hAnsi="Arial" w:cs="Arial"/>
              </w:rPr>
            </w:pPr>
            <w:r w:rsidRPr="005C634B">
              <w:rPr>
                <w:rFonts w:ascii="Arial" w:hAnsi="Arial" w:cs="Arial"/>
                <w:b/>
              </w:rPr>
              <w:t>SC</w:t>
            </w:r>
          </w:p>
        </w:tc>
      </w:tr>
      <w:tr w:rsidR="00A6161D" w:rsidTr="000029CE">
        <w:trPr>
          <w:trHeight w:val="4785"/>
        </w:trPr>
        <w:tc>
          <w:tcPr>
            <w:tcW w:w="582" w:type="dxa"/>
          </w:tcPr>
          <w:p w:rsidR="00A6161D" w:rsidRPr="001375DD" w:rsidRDefault="00A6161D" w:rsidP="002F25CF">
            <w:pPr>
              <w:pStyle w:val="NoSpacing"/>
              <w:rPr>
                <w:rFonts w:ascii="Arial" w:hAnsi="Arial" w:cs="Arial"/>
              </w:rPr>
            </w:pPr>
          </w:p>
          <w:p w:rsidR="00A6161D" w:rsidRPr="001375DD" w:rsidRDefault="00A6161D" w:rsidP="002F25CF">
            <w:pPr>
              <w:pStyle w:val="NoSpacing"/>
              <w:rPr>
                <w:rFonts w:ascii="Arial" w:hAnsi="Arial" w:cs="Arial"/>
              </w:rPr>
            </w:pPr>
            <w:r w:rsidRPr="001375DD">
              <w:rPr>
                <w:rFonts w:ascii="Arial" w:hAnsi="Arial" w:cs="Arial"/>
              </w:rPr>
              <w:t>3</w:t>
            </w:r>
          </w:p>
        </w:tc>
        <w:tc>
          <w:tcPr>
            <w:tcW w:w="8643" w:type="dxa"/>
          </w:tcPr>
          <w:p w:rsidR="00A6161D" w:rsidRPr="001375DD" w:rsidRDefault="00A6161D" w:rsidP="00653757">
            <w:pPr>
              <w:pStyle w:val="NoSpacing"/>
              <w:jc w:val="both"/>
              <w:rPr>
                <w:rFonts w:ascii="Arial" w:hAnsi="Arial" w:cs="Arial"/>
                <w:b/>
              </w:rPr>
            </w:pPr>
          </w:p>
          <w:p w:rsidR="00A6161D" w:rsidRPr="001375DD" w:rsidRDefault="00A6161D" w:rsidP="00653757">
            <w:pPr>
              <w:pStyle w:val="NoSpacing"/>
              <w:jc w:val="both"/>
              <w:rPr>
                <w:rFonts w:ascii="Arial" w:hAnsi="Arial" w:cs="Arial"/>
                <w:b/>
              </w:rPr>
            </w:pPr>
            <w:r w:rsidRPr="001375DD">
              <w:rPr>
                <w:rFonts w:ascii="Arial" w:hAnsi="Arial" w:cs="Arial"/>
                <w:b/>
              </w:rPr>
              <w:t>Key Performance Indicator:</w:t>
            </w:r>
          </w:p>
          <w:p w:rsidR="00A6161D" w:rsidRPr="001375DD" w:rsidRDefault="00A6161D" w:rsidP="00653757">
            <w:pPr>
              <w:pStyle w:val="NoSpacing"/>
              <w:jc w:val="both"/>
              <w:rPr>
                <w:rFonts w:ascii="Arial" w:hAnsi="Arial" w:cs="Arial"/>
              </w:rPr>
            </w:pPr>
          </w:p>
          <w:p w:rsidR="00A6161D" w:rsidRPr="001375DD" w:rsidRDefault="00A6161D" w:rsidP="00653757">
            <w:pPr>
              <w:pStyle w:val="NoSpacing"/>
              <w:numPr>
                <w:ilvl w:val="0"/>
                <w:numId w:val="4"/>
              </w:numPr>
              <w:jc w:val="both"/>
              <w:rPr>
                <w:rFonts w:ascii="Arial" w:hAnsi="Arial" w:cs="Arial"/>
              </w:rPr>
            </w:pPr>
            <w:r w:rsidRPr="001375DD">
              <w:rPr>
                <w:rFonts w:ascii="Arial" w:hAnsi="Arial" w:cs="Arial"/>
              </w:rPr>
              <w:t>The BTAS Service Agreement was entered into October 2013.</w:t>
            </w:r>
          </w:p>
          <w:p w:rsidR="00A6161D" w:rsidRPr="001375DD" w:rsidRDefault="00A6161D" w:rsidP="0054129D">
            <w:pPr>
              <w:pStyle w:val="NoSpacing"/>
              <w:ind w:left="786"/>
              <w:jc w:val="both"/>
              <w:rPr>
                <w:rFonts w:ascii="Arial" w:hAnsi="Arial" w:cs="Arial"/>
              </w:rPr>
            </w:pPr>
          </w:p>
          <w:p w:rsidR="00A6161D" w:rsidRPr="001375DD" w:rsidRDefault="00A6161D" w:rsidP="00653757">
            <w:pPr>
              <w:pStyle w:val="NoSpacing"/>
              <w:numPr>
                <w:ilvl w:val="0"/>
                <w:numId w:val="4"/>
              </w:numPr>
              <w:jc w:val="both"/>
              <w:rPr>
                <w:rFonts w:ascii="Arial" w:hAnsi="Arial" w:cs="Arial"/>
              </w:rPr>
            </w:pPr>
            <w:r w:rsidRPr="001375DD">
              <w:rPr>
                <w:rFonts w:ascii="Arial" w:hAnsi="Arial" w:cs="Arial"/>
              </w:rPr>
              <w:t>The first review of the KPI’s and the first two BSB monitoring visits show that BTAS is working effectively by those measures.</w:t>
            </w:r>
          </w:p>
          <w:p w:rsidR="00A6161D" w:rsidRPr="001375DD" w:rsidRDefault="00A6161D" w:rsidP="00653757">
            <w:pPr>
              <w:pStyle w:val="NoSpacing"/>
              <w:ind w:left="720"/>
              <w:jc w:val="both"/>
              <w:rPr>
                <w:rFonts w:ascii="Arial" w:hAnsi="Arial" w:cs="Arial"/>
              </w:rPr>
            </w:pPr>
          </w:p>
          <w:p w:rsidR="00A6161D" w:rsidRPr="001375DD" w:rsidRDefault="00A6161D" w:rsidP="00653757">
            <w:pPr>
              <w:pStyle w:val="NoSpacing"/>
              <w:numPr>
                <w:ilvl w:val="0"/>
                <w:numId w:val="4"/>
              </w:numPr>
              <w:jc w:val="both"/>
              <w:rPr>
                <w:rFonts w:ascii="Arial" w:hAnsi="Arial" w:cs="Arial"/>
              </w:rPr>
            </w:pPr>
            <w:r w:rsidRPr="001375DD">
              <w:rPr>
                <w:rFonts w:ascii="Arial" w:hAnsi="Arial" w:cs="Arial"/>
              </w:rPr>
              <w:t>The KPI’s will be reviewed in the future to ensure that the service is being developed. At the moment the KPI’s focus on those matters raised in the Browne Review and set out in the Service Agreement.</w:t>
            </w:r>
          </w:p>
          <w:p w:rsidR="00A6161D" w:rsidRPr="001375DD" w:rsidRDefault="00A6161D" w:rsidP="0054129D">
            <w:pPr>
              <w:jc w:val="both"/>
              <w:rPr>
                <w:rFonts w:ascii="Arial" w:hAnsi="Arial" w:cs="Arial"/>
              </w:rPr>
            </w:pPr>
          </w:p>
          <w:p w:rsidR="00A6161D" w:rsidRPr="001375DD" w:rsidRDefault="00A6161D" w:rsidP="008979B0">
            <w:pPr>
              <w:pStyle w:val="NoSpacing"/>
              <w:numPr>
                <w:ilvl w:val="0"/>
                <w:numId w:val="4"/>
              </w:numPr>
              <w:jc w:val="both"/>
              <w:rPr>
                <w:rFonts w:ascii="Arial" w:hAnsi="Arial" w:cs="Arial"/>
              </w:rPr>
            </w:pPr>
            <w:r w:rsidRPr="001375DD">
              <w:rPr>
                <w:rFonts w:ascii="Arial" w:hAnsi="Arial" w:cs="Arial"/>
              </w:rPr>
              <w:t>Consideration should be given to having a report from a Disciplinary Tribunal chair indicating why a hearing was p</w:t>
            </w:r>
            <w:r>
              <w:rPr>
                <w:rFonts w:ascii="Arial" w:hAnsi="Arial" w:cs="Arial"/>
              </w:rPr>
              <w:t>art-</w:t>
            </w:r>
            <w:r w:rsidRPr="001375DD">
              <w:rPr>
                <w:rFonts w:ascii="Arial" w:hAnsi="Arial" w:cs="Arial"/>
              </w:rPr>
              <w:t>heard. This will help BTAS and the BSB develope their active case management systems and regulations.</w:t>
            </w:r>
          </w:p>
          <w:p w:rsidR="00A6161D" w:rsidRPr="001375DD" w:rsidRDefault="00A6161D" w:rsidP="008979B0">
            <w:pPr>
              <w:pStyle w:val="NoSpacing"/>
              <w:jc w:val="both"/>
              <w:rPr>
                <w:rFonts w:ascii="Arial" w:hAnsi="Arial" w:cs="Arial"/>
              </w:rPr>
            </w:pPr>
          </w:p>
          <w:p w:rsidR="00A6161D" w:rsidRDefault="00A6161D" w:rsidP="00F441B6">
            <w:pPr>
              <w:pStyle w:val="NoSpacing"/>
              <w:numPr>
                <w:ilvl w:val="0"/>
                <w:numId w:val="4"/>
              </w:numPr>
              <w:jc w:val="both"/>
              <w:rPr>
                <w:rFonts w:ascii="Arial" w:hAnsi="Arial" w:cs="Arial"/>
              </w:rPr>
            </w:pPr>
            <w:r w:rsidRPr="001375DD">
              <w:rPr>
                <w:rFonts w:ascii="Arial" w:hAnsi="Arial" w:cs="Arial"/>
              </w:rPr>
              <w:t>It may be helpful for the KPI report to indicate the number of interim applications, cases being completed each month, and the time taken to reach a final determination.</w:t>
            </w:r>
          </w:p>
          <w:p w:rsidR="00FE4631" w:rsidRDefault="00FE4631" w:rsidP="00FE4631">
            <w:pPr>
              <w:pStyle w:val="ListParagraph"/>
              <w:rPr>
                <w:rFonts w:ascii="Arial" w:hAnsi="Arial" w:cs="Arial"/>
              </w:rPr>
            </w:pPr>
          </w:p>
          <w:p w:rsidR="00FE4631" w:rsidRPr="001375DD" w:rsidRDefault="00FE4631" w:rsidP="00FE4631">
            <w:pPr>
              <w:pStyle w:val="NoSpacing"/>
              <w:ind w:left="644"/>
              <w:jc w:val="both"/>
              <w:rPr>
                <w:rFonts w:ascii="Arial" w:hAnsi="Arial" w:cs="Arial"/>
              </w:rPr>
            </w:pPr>
          </w:p>
        </w:tc>
        <w:tc>
          <w:tcPr>
            <w:tcW w:w="904" w:type="dxa"/>
            <w:vMerge w:val="restart"/>
          </w:tcPr>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p w:rsidR="00A6161D" w:rsidRPr="005C634B" w:rsidRDefault="00A6161D" w:rsidP="002F25CF">
            <w:pPr>
              <w:pStyle w:val="NoSpacing"/>
              <w:rPr>
                <w:rFonts w:ascii="Arial" w:hAnsi="Arial" w:cs="Arial"/>
                <w:b/>
              </w:rPr>
            </w:pPr>
          </w:p>
        </w:tc>
      </w:tr>
      <w:tr w:rsidR="00A6161D" w:rsidTr="000029CE">
        <w:trPr>
          <w:trHeight w:val="513"/>
        </w:trPr>
        <w:tc>
          <w:tcPr>
            <w:tcW w:w="582" w:type="dxa"/>
          </w:tcPr>
          <w:p w:rsidR="00A6161D" w:rsidRPr="001375DD" w:rsidRDefault="00A6161D" w:rsidP="002F25CF">
            <w:pPr>
              <w:pStyle w:val="NoSpacing"/>
              <w:rPr>
                <w:rFonts w:ascii="Arial" w:hAnsi="Arial" w:cs="Arial"/>
              </w:rPr>
            </w:pPr>
            <w:r>
              <w:rPr>
                <w:rFonts w:ascii="Arial" w:hAnsi="Arial" w:cs="Arial"/>
              </w:rPr>
              <w:t>4</w:t>
            </w:r>
          </w:p>
        </w:tc>
        <w:tc>
          <w:tcPr>
            <w:tcW w:w="8643" w:type="dxa"/>
          </w:tcPr>
          <w:p w:rsidR="00A6161D" w:rsidRDefault="00A6161D" w:rsidP="00A6161D">
            <w:pPr>
              <w:pStyle w:val="NoSpacing"/>
              <w:jc w:val="both"/>
              <w:rPr>
                <w:rFonts w:ascii="Arial" w:hAnsi="Arial" w:cs="Arial"/>
              </w:rPr>
            </w:pPr>
          </w:p>
          <w:p w:rsidR="00A6161D" w:rsidRPr="00A6161D" w:rsidRDefault="00A6161D" w:rsidP="00A6161D">
            <w:pPr>
              <w:pStyle w:val="NoSpacing"/>
              <w:jc w:val="both"/>
              <w:rPr>
                <w:rFonts w:ascii="Arial" w:hAnsi="Arial" w:cs="Arial"/>
                <w:b/>
              </w:rPr>
            </w:pPr>
            <w:r w:rsidRPr="00A6161D">
              <w:rPr>
                <w:rFonts w:ascii="Arial" w:hAnsi="Arial" w:cs="Arial"/>
                <w:b/>
              </w:rPr>
              <w:t>LSB – Standard of proof:</w:t>
            </w:r>
          </w:p>
          <w:p w:rsidR="00A6161D" w:rsidRPr="00A6161D" w:rsidRDefault="00A6161D" w:rsidP="00A6161D">
            <w:pPr>
              <w:pStyle w:val="NoSpacing"/>
              <w:ind w:left="644"/>
              <w:jc w:val="both"/>
              <w:rPr>
                <w:rFonts w:ascii="Arial" w:hAnsi="Arial" w:cs="Arial"/>
              </w:rPr>
            </w:pPr>
          </w:p>
          <w:p w:rsidR="00A6161D" w:rsidRPr="001375DD" w:rsidRDefault="00A6161D" w:rsidP="00A6161D">
            <w:pPr>
              <w:pStyle w:val="NoSpacing"/>
              <w:numPr>
                <w:ilvl w:val="0"/>
                <w:numId w:val="16"/>
              </w:numPr>
              <w:jc w:val="both"/>
              <w:rPr>
                <w:rFonts w:ascii="Arial" w:hAnsi="Arial" w:cs="Arial"/>
              </w:rPr>
            </w:pPr>
            <w:r w:rsidRPr="00A6161D">
              <w:rPr>
                <w:rFonts w:ascii="Arial" w:hAnsi="Arial" w:cs="Arial"/>
              </w:rPr>
              <w:t>The LSB have recently recommended use of the civil standard of proof. The BSB have looked at this matter in the past and may possibly return to it in the near future; it is only the BSB that can determine the standard. This is a complex issue which SAB noted and will return to if that is of assistance to COIC.</w:t>
            </w:r>
          </w:p>
          <w:p w:rsidR="00A6161D" w:rsidRPr="001375DD" w:rsidRDefault="00A6161D" w:rsidP="00DF0448">
            <w:pPr>
              <w:pStyle w:val="NoSpacing"/>
              <w:jc w:val="both"/>
              <w:rPr>
                <w:rFonts w:ascii="Arial" w:hAnsi="Arial" w:cs="Arial"/>
                <w:b/>
              </w:rPr>
            </w:pPr>
            <w:r w:rsidRPr="001375DD">
              <w:rPr>
                <w:rFonts w:ascii="Arial" w:hAnsi="Arial" w:cs="Arial"/>
              </w:rPr>
              <w:t xml:space="preserve"> </w:t>
            </w:r>
          </w:p>
        </w:tc>
        <w:tc>
          <w:tcPr>
            <w:tcW w:w="904" w:type="dxa"/>
            <w:vMerge/>
          </w:tcPr>
          <w:p w:rsidR="00A6161D" w:rsidRPr="005C634B" w:rsidRDefault="00A6161D" w:rsidP="002F25CF">
            <w:pPr>
              <w:pStyle w:val="NoSpacing"/>
              <w:rPr>
                <w:rFonts w:ascii="Arial" w:hAnsi="Arial" w:cs="Arial"/>
                <w:b/>
              </w:rPr>
            </w:pPr>
          </w:p>
        </w:tc>
      </w:tr>
      <w:tr w:rsidR="00720633" w:rsidTr="000029CE">
        <w:tc>
          <w:tcPr>
            <w:tcW w:w="582" w:type="dxa"/>
          </w:tcPr>
          <w:p w:rsidR="00720633" w:rsidRDefault="00720633" w:rsidP="002F25CF">
            <w:pPr>
              <w:pStyle w:val="NoSpacing"/>
              <w:rPr>
                <w:rFonts w:ascii="Arial" w:hAnsi="Arial" w:cs="Arial"/>
              </w:rPr>
            </w:pPr>
          </w:p>
          <w:p w:rsidR="001375DD" w:rsidRDefault="001375DD" w:rsidP="00720633">
            <w:pPr>
              <w:pStyle w:val="NoSpacing"/>
              <w:jc w:val="center"/>
              <w:rPr>
                <w:rFonts w:ascii="Arial" w:hAnsi="Arial" w:cs="Arial"/>
              </w:rPr>
            </w:pPr>
            <w:r>
              <w:rPr>
                <w:rFonts w:ascii="Arial" w:hAnsi="Arial" w:cs="Arial"/>
              </w:rPr>
              <w:t>5</w:t>
            </w: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1375DD" w:rsidRDefault="001375DD" w:rsidP="00720633">
            <w:pPr>
              <w:pStyle w:val="NoSpacing"/>
              <w:jc w:val="center"/>
              <w:rPr>
                <w:rFonts w:ascii="Arial" w:hAnsi="Arial" w:cs="Arial"/>
              </w:rPr>
            </w:pPr>
          </w:p>
          <w:p w:rsidR="00720633" w:rsidRDefault="00720633" w:rsidP="00720633">
            <w:pPr>
              <w:pStyle w:val="NoSpacing"/>
              <w:jc w:val="center"/>
              <w:rPr>
                <w:rFonts w:ascii="Arial" w:hAnsi="Arial" w:cs="Arial"/>
              </w:rPr>
            </w:pPr>
          </w:p>
          <w:p w:rsidR="00A6161D" w:rsidRDefault="00A6161D" w:rsidP="00720633">
            <w:pPr>
              <w:pStyle w:val="NoSpacing"/>
              <w:jc w:val="center"/>
              <w:rPr>
                <w:rFonts w:ascii="Arial" w:hAnsi="Arial" w:cs="Arial"/>
              </w:rPr>
            </w:pPr>
          </w:p>
          <w:p w:rsidR="00A6161D" w:rsidRDefault="00A6161D" w:rsidP="00720633">
            <w:pPr>
              <w:pStyle w:val="NoSpacing"/>
              <w:jc w:val="center"/>
              <w:rPr>
                <w:rFonts w:ascii="Arial" w:hAnsi="Arial" w:cs="Arial"/>
              </w:rPr>
            </w:pPr>
          </w:p>
          <w:p w:rsidR="00A6161D" w:rsidRDefault="00A6161D" w:rsidP="00A6161D">
            <w:pPr>
              <w:pStyle w:val="NoSpacing"/>
              <w:rPr>
                <w:rFonts w:ascii="Arial" w:hAnsi="Arial" w:cs="Arial"/>
              </w:rPr>
            </w:pPr>
          </w:p>
          <w:p w:rsidR="00FE4631" w:rsidRDefault="00FE4631" w:rsidP="00A6161D">
            <w:pPr>
              <w:pStyle w:val="NoSpacing"/>
              <w:rPr>
                <w:rFonts w:ascii="Arial" w:hAnsi="Arial" w:cs="Arial"/>
              </w:rPr>
            </w:pPr>
          </w:p>
          <w:p w:rsidR="00FE4631" w:rsidRDefault="00FE4631" w:rsidP="00A6161D">
            <w:pPr>
              <w:pStyle w:val="NoSpacing"/>
              <w:rPr>
                <w:rFonts w:ascii="Arial" w:hAnsi="Arial" w:cs="Arial"/>
              </w:rPr>
            </w:pPr>
          </w:p>
          <w:p w:rsidR="00FE4631" w:rsidRDefault="00FE4631" w:rsidP="00A6161D">
            <w:pPr>
              <w:pStyle w:val="NoSpacing"/>
              <w:rPr>
                <w:rFonts w:ascii="Arial" w:hAnsi="Arial" w:cs="Arial"/>
              </w:rPr>
            </w:pPr>
          </w:p>
          <w:p w:rsidR="00A6161D" w:rsidRDefault="00A6161D" w:rsidP="00A6161D">
            <w:pPr>
              <w:pStyle w:val="NoSpacing"/>
              <w:rPr>
                <w:rFonts w:ascii="Arial" w:hAnsi="Arial" w:cs="Arial"/>
              </w:rPr>
            </w:pPr>
            <w:r>
              <w:rPr>
                <w:rFonts w:ascii="Arial" w:hAnsi="Arial" w:cs="Arial"/>
              </w:rPr>
              <w:t>6</w:t>
            </w:r>
          </w:p>
        </w:tc>
        <w:tc>
          <w:tcPr>
            <w:tcW w:w="8643" w:type="dxa"/>
          </w:tcPr>
          <w:p w:rsidR="00A6161D" w:rsidRDefault="00A6161D" w:rsidP="001375DD">
            <w:pPr>
              <w:pStyle w:val="NoSpacing"/>
              <w:jc w:val="both"/>
              <w:rPr>
                <w:rFonts w:ascii="Arial" w:hAnsi="Arial" w:cs="Arial"/>
                <w:b/>
              </w:rPr>
            </w:pPr>
          </w:p>
          <w:p w:rsidR="001375DD" w:rsidRPr="001375DD" w:rsidRDefault="001375DD" w:rsidP="001375DD">
            <w:pPr>
              <w:pStyle w:val="NoSpacing"/>
              <w:jc w:val="both"/>
              <w:rPr>
                <w:rFonts w:ascii="Arial" w:hAnsi="Arial" w:cs="Arial"/>
                <w:b/>
              </w:rPr>
            </w:pPr>
            <w:r w:rsidRPr="001375DD">
              <w:rPr>
                <w:rFonts w:ascii="Arial" w:hAnsi="Arial" w:cs="Arial"/>
                <w:b/>
              </w:rPr>
              <w:t>Future  Topics for Considerations:</w:t>
            </w:r>
          </w:p>
          <w:p w:rsidR="00A6161D" w:rsidRDefault="00A6161D" w:rsidP="00A6161D">
            <w:pPr>
              <w:pStyle w:val="NoSpacing"/>
              <w:jc w:val="both"/>
              <w:rPr>
                <w:rFonts w:ascii="Arial" w:hAnsi="Arial" w:cs="Arial"/>
                <w:b/>
              </w:rPr>
            </w:pPr>
          </w:p>
          <w:p w:rsidR="00A6161D" w:rsidRDefault="001375DD" w:rsidP="00A6161D">
            <w:pPr>
              <w:pStyle w:val="NoSpacing"/>
              <w:numPr>
                <w:ilvl w:val="0"/>
                <w:numId w:val="15"/>
              </w:numPr>
              <w:jc w:val="both"/>
              <w:rPr>
                <w:rFonts w:ascii="Arial" w:hAnsi="Arial" w:cs="Arial"/>
              </w:rPr>
            </w:pPr>
            <w:r w:rsidRPr="001375DD">
              <w:rPr>
                <w:rFonts w:ascii="Arial" w:hAnsi="Arial" w:cs="Arial"/>
              </w:rPr>
              <w:t>The Key Performance Indicator Report – developing the report format &amp; criteria.</w:t>
            </w:r>
          </w:p>
          <w:p w:rsidR="00A6161D" w:rsidRDefault="00A6161D" w:rsidP="00A6161D">
            <w:pPr>
              <w:pStyle w:val="NoSpacing"/>
              <w:ind w:left="720"/>
              <w:jc w:val="both"/>
              <w:rPr>
                <w:rFonts w:ascii="Arial" w:hAnsi="Arial" w:cs="Arial"/>
              </w:rPr>
            </w:pPr>
          </w:p>
          <w:p w:rsidR="00A6161D" w:rsidRDefault="001375DD" w:rsidP="00A6161D">
            <w:pPr>
              <w:pStyle w:val="NoSpacing"/>
              <w:numPr>
                <w:ilvl w:val="0"/>
                <w:numId w:val="15"/>
              </w:numPr>
              <w:jc w:val="both"/>
              <w:rPr>
                <w:rFonts w:ascii="Arial" w:hAnsi="Arial" w:cs="Arial"/>
              </w:rPr>
            </w:pPr>
            <w:r w:rsidRPr="00A6161D">
              <w:rPr>
                <w:rFonts w:ascii="Arial" w:hAnsi="Arial" w:cs="Arial"/>
              </w:rPr>
              <w:t>QASA – BTAS &amp; COIC will monitor the reaction of the profession to the implementation of QASA. This could result in an increase in disciplinary actions and greater resource. If that is the case then BTAS may return to SAB for advice.</w:t>
            </w:r>
          </w:p>
          <w:p w:rsidR="00A6161D" w:rsidRDefault="00A6161D" w:rsidP="00A6161D">
            <w:pPr>
              <w:pStyle w:val="ListParagraph"/>
              <w:rPr>
                <w:rFonts w:ascii="Arial" w:hAnsi="Arial" w:cs="Arial"/>
              </w:rPr>
            </w:pPr>
          </w:p>
          <w:p w:rsidR="00A6161D" w:rsidRDefault="001375DD" w:rsidP="00A6161D">
            <w:pPr>
              <w:pStyle w:val="NoSpacing"/>
              <w:numPr>
                <w:ilvl w:val="0"/>
                <w:numId w:val="15"/>
              </w:numPr>
              <w:jc w:val="both"/>
              <w:rPr>
                <w:rFonts w:ascii="Arial" w:hAnsi="Arial" w:cs="Arial"/>
              </w:rPr>
            </w:pPr>
            <w:r w:rsidRPr="00A6161D">
              <w:rPr>
                <w:rFonts w:ascii="Arial" w:hAnsi="Arial" w:cs="Arial"/>
              </w:rPr>
              <w:t>Entity Regulation - SAB will perhaps return to it in the autumn.</w:t>
            </w:r>
          </w:p>
          <w:p w:rsidR="00A6161D" w:rsidRDefault="00A6161D" w:rsidP="00A6161D">
            <w:pPr>
              <w:pStyle w:val="ListParagraph"/>
              <w:rPr>
                <w:rFonts w:ascii="Arial" w:hAnsi="Arial" w:cs="Arial"/>
              </w:rPr>
            </w:pPr>
          </w:p>
          <w:p w:rsidR="00A6161D" w:rsidRDefault="00AD6E17" w:rsidP="00AD6E17">
            <w:pPr>
              <w:pStyle w:val="NoSpacing"/>
              <w:numPr>
                <w:ilvl w:val="0"/>
                <w:numId w:val="15"/>
              </w:numPr>
              <w:rPr>
                <w:rFonts w:ascii="Arial" w:hAnsi="Arial" w:cs="Arial"/>
              </w:rPr>
            </w:pPr>
            <w:r>
              <w:rPr>
                <w:rFonts w:ascii="Arial" w:hAnsi="Arial" w:cs="Arial"/>
              </w:rPr>
              <w:t xml:space="preserve">Appraisals of panel - </w:t>
            </w:r>
            <w:r w:rsidR="001375DD" w:rsidRPr="00A6161D">
              <w:rPr>
                <w:rFonts w:ascii="Arial" w:hAnsi="Arial" w:cs="Arial"/>
              </w:rPr>
              <w:t>members review the effectiveness of the panellist appraisal process and training.</w:t>
            </w:r>
          </w:p>
          <w:p w:rsidR="00A6161D" w:rsidRDefault="00A6161D" w:rsidP="00A6161D">
            <w:pPr>
              <w:pStyle w:val="ListParagraph"/>
              <w:rPr>
                <w:rFonts w:ascii="Arial" w:hAnsi="Arial" w:cs="Arial"/>
              </w:rPr>
            </w:pPr>
          </w:p>
          <w:p w:rsidR="00AD6E17" w:rsidRDefault="001375DD" w:rsidP="00AD6E17">
            <w:pPr>
              <w:pStyle w:val="NoSpacing"/>
              <w:numPr>
                <w:ilvl w:val="0"/>
                <w:numId w:val="15"/>
              </w:numPr>
              <w:jc w:val="both"/>
              <w:rPr>
                <w:rFonts w:ascii="Arial" w:hAnsi="Arial" w:cs="Arial"/>
              </w:rPr>
            </w:pPr>
            <w:r w:rsidRPr="00A6161D">
              <w:rPr>
                <w:rFonts w:ascii="Arial" w:hAnsi="Arial" w:cs="Arial"/>
              </w:rPr>
              <w:t>Inns Conduct Committee Review –This review committee is likely to propose BTAS and ICC panellist pools be merged. SAB views may be sought.</w:t>
            </w:r>
          </w:p>
          <w:p w:rsidR="00AD6E17" w:rsidRDefault="00AD6E17" w:rsidP="00AD6E17">
            <w:pPr>
              <w:pStyle w:val="ListParagraph"/>
              <w:rPr>
                <w:rFonts w:ascii="Arial" w:hAnsi="Arial" w:cs="Arial"/>
              </w:rPr>
            </w:pPr>
          </w:p>
          <w:p w:rsidR="0075648D" w:rsidRPr="00AD6E17" w:rsidRDefault="0075648D" w:rsidP="00AD6E17">
            <w:pPr>
              <w:pStyle w:val="NoSpacing"/>
              <w:numPr>
                <w:ilvl w:val="0"/>
                <w:numId w:val="15"/>
              </w:numPr>
              <w:jc w:val="both"/>
              <w:rPr>
                <w:rFonts w:ascii="Arial" w:hAnsi="Arial" w:cs="Arial"/>
              </w:rPr>
            </w:pPr>
            <w:r w:rsidRPr="00AD6E17">
              <w:rPr>
                <w:rFonts w:ascii="Arial" w:hAnsi="Arial" w:cs="Arial"/>
              </w:rPr>
              <w:t>Methods of</w:t>
            </w:r>
            <w:r w:rsidR="00035CA5" w:rsidRPr="00AD6E17">
              <w:rPr>
                <w:rFonts w:ascii="Arial" w:hAnsi="Arial" w:cs="Arial"/>
              </w:rPr>
              <w:t xml:space="preserve"> </w:t>
            </w:r>
            <w:r w:rsidRPr="00AD6E17">
              <w:rPr>
                <w:rFonts w:ascii="Arial" w:hAnsi="Arial" w:cs="Arial"/>
              </w:rPr>
              <w:t>evaluating</w:t>
            </w:r>
            <w:r w:rsidR="00A6161D" w:rsidRPr="00AD6E17">
              <w:rPr>
                <w:rFonts w:ascii="Arial" w:hAnsi="Arial" w:cs="Arial"/>
              </w:rPr>
              <w:t xml:space="preserve"> the effectiveness of SAB.</w:t>
            </w:r>
          </w:p>
          <w:p w:rsidR="001375DD" w:rsidRDefault="001375DD" w:rsidP="00FF10A1">
            <w:pPr>
              <w:pStyle w:val="NoSpacing"/>
              <w:jc w:val="both"/>
              <w:rPr>
                <w:rFonts w:ascii="Arial" w:hAnsi="Arial" w:cs="Arial"/>
                <w:b/>
              </w:rPr>
            </w:pPr>
          </w:p>
          <w:p w:rsidR="00A6161D" w:rsidRDefault="00A6161D" w:rsidP="00FF10A1">
            <w:pPr>
              <w:pStyle w:val="NoSpacing"/>
              <w:jc w:val="both"/>
              <w:rPr>
                <w:rFonts w:ascii="Arial" w:hAnsi="Arial" w:cs="Arial"/>
                <w:b/>
              </w:rPr>
            </w:pPr>
          </w:p>
          <w:p w:rsidR="00FE4631" w:rsidRDefault="00FE4631" w:rsidP="00FF10A1">
            <w:pPr>
              <w:pStyle w:val="NoSpacing"/>
              <w:jc w:val="both"/>
              <w:rPr>
                <w:rFonts w:ascii="Arial" w:hAnsi="Arial" w:cs="Arial"/>
                <w:b/>
              </w:rPr>
            </w:pPr>
          </w:p>
          <w:p w:rsidR="00FE4631" w:rsidRDefault="00FE4631" w:rsidP="00FF10A1">
            <w:pPr>
              <w:pStyle w:val="NoSpacing"/>
              <w:jc w:val="both"/>
              <w:rPr>
                <w:rFonts w:ascii="Arial" w:hAnsi="Arial" w:cs="Arial"/>
                <w:b/>
              </w:rPr>
            </w:pPr>
          </w:p>
          <w:p w:rsidR="00FE4631" w:rsidRDefault="00FE4631" w:rsidP="00FF10A1">
            <w:pPr>
              <w:pStyle w:val="NoSpacing"/>
              <w:jc w:val="both"/>
              <w:rPr>
                <w:rFonts w:ascii="Arial" w:hAnsi="Arial" w:cs="Arial"/>
                <w:b/>
              </w:rPr>
            </w:pPr>
          </w:p>
          <w:p w:rsidR="00FE4631" w:rsidRDefault="00FE4631" w:rsidP="00FF10A1">
            <w:pPr>
              <w:pStyle w:val="NoSpacing"/>
              <w:jc w:val="both"/>
              <w:rPr>
                <w:rFonts w:ascii="Arial" w:hAnsi="Arial" w:cs="Arial"/>
                <w:b/>
              </w:rPr>
            </w:pPr>
          </w:p>
          <w:p w:rsidR="00720633" w:rsidRDefault="00720633" w:rsidP="00FF10A1">
            <w:pPr>
              <w:pStyle w:val="NoSpacing"/>
              <w:jc w:val="both"/>
              <w:rPr>
                <w:rFonts w:ascii="Arial" w:hAnsi="Arial" w:cs="Arial"/>
                <w:b/>
              </w:rPr>
            </w:pPr>
            <w:r>
              <w:rPr>
                <w:rFonts w:ascii="Arial" w:hAnsi="Arial" w:cs="Arial"/>
                <w:b/>
              </w:rPr>
              <w:t>Any Other Business:</w:t>
            </w:r>
          </w:p>
          <w:p w:rsidR="00720633" w:rsidRDefault="00720633" w:rsidP="00FF10A1">
            <w:pPr>
              <w:pStyle w:val="NoSpacing"/>
              <w:jc w:val="both"/>
              <w:rPr>
                <w:rFonts w:ascii="Arial" w:hAnsi="Arial" w:cs="Arial"/>
                <w:b/>
              </w:rPr>
            </w:pPr>
          </w:p>
          <w:p w:rsidR="00720633" w:rsidRDefault="00720633" w:rsidP="00720633">
            <w:pPr>
              <w:pStyle w:val="NoSpacing"/>
              <w:numPr>
                <w:ilvl w:val="0"/>
                <w:numId w:val="12"/>
              </w:numPr>
              <w:jc w:val="both"/>
              <w:rPr>
                <w:rFonts w:ascii="Arial" w:hAnsi="Arial" w:cs="Arial"/>
              </w:rPr>
            </w:pPr>
            <w:r w:rsidRPr="00720633">
              <w:rPr>
                <w:rFonts w:ascii="Arial" w:hAnsi="Arial" w:cs="Arial"/>
              </w:rPr>
              <w:t>Newsletters</w:t>
            </w:r>
            <w:r w:rsidR="007667AC">
              <w:rPr>
                <w:rFonts w:ascii="Arial" w:hAnsi="Arial" w:cs="Arial"/>
              </w:rPr>
              <w:t xml:space="preserve"> - </w:t>
            </w:r>
            <w:r w:rsidR="00B05174">
              <w:rPr>
                <w:rFonts w:ascii="Arial" w:hAnsi="Arial" w:cs="Arial"/>
              </w:rPr>
              <w:t xml:space="preserve">SAB members </w:t>
            </w:r>
            <w:r w:rsidR="00AD6E17">
              <w:rPr>
                <w:rFonts w:ascii="Arial" w:hAnsi="Arial" w:cs="Arial"/>
              </w:rPr>
              <w:t>are</w:t>
            </w:r>
            <w:r w:rsidR="00B05174">
              <w:rPr>
                <w:rFonts w:ascii="Arial" w:hAnsi="Arial" w:cs="Arial"/>
              </w:rPr>
              <w:t xml:space="preserve"> asked to provide ideas for future newsletters. One idea was that the newsletters could report on items considered at SAB.</w:t>
            </w:r>
          </w:p>
          <w:p w:rsidR="00720633" w:rsidRPr="00720633" w:rsidRDefault="00720633" w:rsidP="00720633">
            <w:pPr>
              <w:pStyle w:val="NoSpacing"/>
              <w:ind w:left="720"/>
              <w:jc w:val="both"/>
              <w:rPr>
                <w:rFonts w:ascii="Arial" w:hAnsi="Arial" w:cs="Arial"/>
              </w:rPr>
            </w:pPr>
          </w:p>
          <w:p w:rsidR="00720633" w:rsidRPr="007667AC" w:rsidRDefault="00720633" w:rsidP="00720633">
            <w:pPr>
              <w:pStyle w:val="NoSpacing"/>
              <w:numPr>
                <w:ilvl w:val="0"/>
                <w:numId w:val="12"/>
              </w:numPr>
              <w:jc w:val="both"/>
              <w:rPr>
                <w:rFonts w:ascii="Arial" w:hAnsi="Arial" w:cs="Arial"/>
              </w:rPr>
            </w:pPr>
            <w:r w:rsidRPr="007667AC">
              <w:rPr>
                <w:rFonts w:ascii="Arial" w:hAnsi="Arial" w:cs="Arial"/>
              </w:rPr>
              <w:t>Directions Judges hearing substantive matters</w:t>
            </w:r>
            <w:r w:rsidR="00B05174" w:rsidRPr="007667AC">
              <w:rPr>
                <w:rFonts w:ascii="Arial" w:hAnsi="Arial" w:cs="Arial"/>
              </w:rPr>
              <w:t xml:space="preserve"> – The regulation</w:t>
            </w:r>
            <w:r w:rsidR="007667AC">
              <w:rPr>
                <w:rFonts w:ascii="Arial" w:hAnsi="Arial" w:cs="Arial"/>
              </w:rPr>
              <w:t>s prohibit a directions judge from hearing the substantive matter. It was agreed that it could be very helpful and aid efficiency If a directions judge could, when appropriate hear the substantive matter. The BSB wished to research the matter further to see why the rule was introduced. They will report back the next SAB.</w:t>
            </w:r>
          </w:p>
          <w:p w:rsidR="00720633" w:rsidRPr="00720633" w:rsidRDefault="00720633" w:rsidP="00720633">
            <w:pPr>
              <w:pStyle w:val="NoSpacing"/>
              <w:jc w:val="both"/>
              <w:rPr>
                <w:rFonts w:ascii="Arial" w:hAnsi="Arial" w:cs="Arial"/>
              </w:rPr>
            </w:pPr>
          </w:p>
          <w:p w:rsidR="00720633" w:rsidRDefault="00720633" w:rsidP="00720633">
            <w:pPr>
              <w:pStyle w:val="NoSpacing"/>
              <w:numPr>
                <w:ilvl w:val="0"/>
                <w:numId w:val="12"/>
              </w:numPr>
              <w:jc w:val="both"/>
              <w:rPr>
                <w:rFonts w:ascii="Arial" w:hAnsi="Arial" w:cs="Arial"/>
              </w:rPr>
            </w:pPr>
            <w:r w:rsidRPr="00720633">
              <w:rPr>
                <w:rFonts w:ascii="Arial" w:hAnsi="Arial" w:cs="Arial"/>
              </w:rPr>
              <w:t>COIC’s</w:t>
            </w:r>
            <w:r>
              <w:rPr>
                <w:rFonts w:ascii="Arial" w:hAnsi="Arial" w:cs="Arial"/>
              </w:rPr>
              <w:t xml:space="preserve"> charitable status</w:t>
            </w:r>
            <w:r w:rsidR="00B05174">
              <w:rPr>
                <w:rFonts w:ascii="Arial" w:hAnsi="Arial" w:cs="Arial"/>
              </w:rPr>
              <w:t xml:space="preserve"> – The Director of COIC reported that COIC (including BTAS) will become a charity on July 1</w:t>
            </w:r>
            <w:r w:rsidR="00B05174" w:rsidRPr="00B05174">
              <w:rPr>
                <w:rFonts w:ascii="Arial" w:hAnsi="Arial" w:cs="Arial"/>
                <w:vertAlign w:val="superscript"/>
              </w:rPr>
              <w:t>st</w:t>
            </w:r>
            <w:r w:rsidR="00B05174">
              <w:rPr>
                <w:rFonts w:ascii="Arial" w:hAnsi="Arial" w:cs="Arial"/>
              </w:rPr>
              <w:t xml:space="preserve"> 2014.</w:t>
            </w:r>
          </w:p>
          <w:p w:rsidR="00720633" w:rsidRPr="00720633" w:rsidRDefault="00720633" w:rsidP="00720633">
            <w:pPr>
              <w:pStyle w:val="NoSpacing"/>
              <w:jc w:val="both"/>
              <w:rPr>
                <w:rFonts w:ascii="Arial" w:hAnsi="Arial" w:cs="Arial"/>
              </w:rPr>
            </w:pPr>
          </w:p>
          <w:p w:rsidR="00720633" w:rsidRPr="005C6257" w:rsidRDefault="00720633" w:rsidP="00720633">
            <w:pPr>
              <w:pStyle w:val="NoSpacing"/>
              <w:numPr>
                <w:ilvl w:val="0"/>
                <w:numId w:val="12"/>
              </w:numPr>
              <w:jc w:val="both"/>
              <w:rPr>
                <w:rFonts w:ascii="Arial" w:hAnsi="Arial" w:cs="Arial"/>
                <w:b/>
              </w:rPr>
            </w:pPr>
            <w:r w:rsidRPr="00720633">
              <w:rPr>
                <w:rFonts w:ascii="Arial" w:hAnsi="Arial" w:cs="Arial"/>
              </w:rPr>
              <w:t>Organisational Chart</w:t>
            </w:r>
            <w:r w:rsidR="00B05174">
              <w:rPr>
                <w:rFonts w:ascii="Arial" w:hAnsi="Arial" w:cs="Arial"/>
              </w:rPr>
              <w:t xml:space="preserve"> – SAB members requested, and both BTAS and the BSB agreed to provide, organisational charts.</w:t>
            </w:r>
          </w:p>
          <w:p w:rsidR="005C6257" w:rsidRPr="00720633" w:rsidRDefault="005C6257" w:rsidP="005C6257">
            <w:pPr>
              <w:pStyle w:val="NoSpacing"/>
              <w:jc w:val="both"/>
              <w:rPr>
                <w:rFonts w:ascii="Arial" w:hAnsi="Arial" w:cs="Arial"/>
                <w:b/>
              </w:rPr>
            </w:pPr>
          </w:p>
        </w:tc>
        <w:tc>
          <w:tcPr>
            <w:tcW w:w="904" w:type="dxa"/>
          </w:tcPr>
          <w:p w:rsidR="00720633" w:rsidRPr="005C634B" w:rsidRDefault="00720633"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r w:rsidRPr="005C634B">
              <w:rPr>
                <w:rFonts w:ascii="Arial" w:hAnsi="Arial" w:cs="Arial"/>
                <w:b/>
              </w:rPr>
              <w:t xml:space="preserve"> </w:t>
            </w:r>
          </w:p>
          <w:p w:rsidR="00AD6E17" w:rsidRPr="005C634B" w:rsidRDefault="00AD6E17" w:rsidP="002F25CF">
            <w:pPr>
              <w:pStyle w:val="NoSpacing"/>
              <w:rPr>
                <w:rFonts w:ascii="Arial" w:hAnsi="Arial" w:cs="Arial"/>
                <w:b/>
              </w:rPr>
            </w:pPr>
            <w:r w:rsidRPr="005C634B">
              <w:rPr>
                <w:rFonts w:ascii="Arial" w:hAnsi="Arial" w:cs="Arial"/>
                <w:b/>
              </w:rPr>
              <w:t>VD</w:t>
            </w: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p>
          <w:p w:rsidR="00AD6E17" w:rsidRPr="005C634B" w:rsidRDefault="00AD6E17" w:rsidP="002F25CF">
            <w:pPr>
              <w:pStyle w:val="NoSpacing"/>
              <w:rPr>
                <w:rFonts w:ascii="Arial" w:hAnsi="Arial" w:cs="Arial"/>
                <w:b/>
              </w:rPr>
            </w:pPr>
            <w:r w:rsidRPr="005C634B">
              <w:rPr>
                <w:rFonts w:ascii="Arial" w:hAnsi="Arial" w:cs="Arial"/>
                <w:b/>
              </w:rPr>
              <w:t>SC</w:t>
            </w:r>
          </w:p>
        </w:tc>
      </w:tr>
      <w:tr w:rsidR="008D34CC" w:rsidTr="000029CE">
        <w:trPr>
          <w:trHeight w:val="1707"/>
        </w:trPr>
        <w:tc>
          <w:tcPr>
            <w:tcW w:w="582" w:type="dxa"/>
          </w:tcPr>
          <w:p w:rsidR="00FE4631" w:rsidRDefault="00FE4631" w:rsidP="002F25CF">
            <w:pPr>
              <w:pStyle w:val="NoSpacing"/>
              <w:rPr>
                <w:rFonts w:ascii="Arial" w:hAnsi="Arial" w:cs="Arial"/>
              </w:rPr>
            </w:pPr>
          </w:p>
          <w:p w:rsidR="008D34CC" w:rsidRDefault="00720633" w:rsidP="002F25CF">
            <w:pPr>
              <w:pStyle w:val="NoSpacing"/>
              <w:rPr>
                <w:rFonts w:ascii="Arial" w:hAnsi="Arial" w:cs="Arial"/>
              </w:rPr>
            </w:pPr>
            <w:r>
              <w:rPr>
                <w:rFonts w:ascii="Arial" w:hAnsi="Arial" w:cs="Arial"/>
              </w:rPr>
              <w:t>7</w:t>
            </w:r>
          </w:p>
        </w:tc>
        <w:tc>
          <w:tcPr>
            <w:tcW w:w="8643" w:type="dxa"/>
          </w:tcPr>
          <w:p w:rsidR="008D34CC" w:rsidRDefault="008D34CC" w:rsidP="00C124FB">
            <w:pPr>
              <w:pStyle w:val="NoSpacing"/>
              <w:rPr>
                <w:rFonts w:ascii="Arial" w:hAnsi="Arial" w:cs="Arial"/>
              </w:rPr>
            </w:pPr>
          </w:p>
          <w:p w:rsidR="008D34CC" w:rsidRDefault="008D34CC" w:rsidP="00C124FB">
            <w:pPr>
              <w:pStyle w:val="NoSpacing"/>
              <w:rPr>
                <w:rFonts w:ascii="Arial" w:hAnsi="Arial" w:cs="Arial"/>
                <w:b/>
              </w:rPr>
            </w:pPr>
            <w:r w:rsidRPr="008D34CC">
              <w:rPr>
                <w:rFonts w:ascii="Arial" w:hAnsi="Arial" w:cs="Arial"/>
                <w:b/>
              </w:rPr>
              <w:t>Date of next meeting</w:t>
            </w:r>
            <w:r>
              <w:rPr>
                <w:rFonts w:ascii="Arial" w:hAnsi="Arial" w:cs="Arial"/>
                <w:b/>
              </w:rPr>
              <w:t>:</w:t>
            </w:r>
          </w:p>
          <w:p w:rsidR="008D34CC" w:rsidRDefault="008D34CC" w:rsidP="00C124FB">
            <w:pPr>
              <w:pStyle w:val="NoSpacing"/>
              <w:rPr>
                <w:rFonts w:ascii="Arial" w:hAnsi="Arial" w:cs="Arial"/>
                <w:b/>
              </w:rPr>
            </w:pPr>
          </w:p>
          <w:p w:rsidR="008D34CC" w:rsidRDefault="008D34CC" w:rsidP="00C124FB">
            <w:pPr>
              <w:pStyle w:val="NoSpacing"/>
              <w:rPr>
                <w:rFonts w:ascii="Arial" w:hAnsi="Arial" w:cs="Arial"/>
              </w:rPr>
            </w:pPr>
            <w:r w:rsidRPr="008D34CC">
              <w:rPr>
                <w:rFonts w:ascii="Arial" w:hAnsi="Arial" w:cs="Arial"/>
              </w:rPr>
              <w:t>To be confirmed</w:t>
            </w:r>
          </w:p>
          <w:p w:rsidR="008D34CC" w:rsidRDefault="008D34CC" w:rsidP="00C124FB">
            <w:pPr>
              <w:pStyle w:val="NoSpacing"/>
              <w:rPr>
                <w:rFonts w:ascii="Arial" w:hAnsi="Arial" w:cs="Arial"/>
              </w:rPr>
            </w:pPr>
          </w:p>
        </w:tc>
        <w:tc>
          <w:tcPr>
            <w:tcW w:w="904" w:type="dxa"/>
          </w:tcPr>
          <w:p w:rsidR="008D34CC" w:rsidRDefault="008D34CC" w:rsidP="002F25CF">
            <w:pPr>
              <w:pStyle w:val="NoSpacing"/>
              <w:rPr>
                <w:rFonts w:ascii="Arial" w:hAnsi="Arial" w:cs="Arial"/>
              </w:rPr>
            </w:pPr>
          </w:p>
        </w:tc>
      </w:tr>
    </w:tbl>
    <w:p w:rsidR="002F25CF" w:rsidRPr="002F25CF" w:rsidRDefault="002F25CF" w:rsidP="002F25CF">
      <w:pPr>
        <w:pStyle w:val="NoSpacing"/>
        <w:rPr>
          <w:rFonts w:ascii="Arial" w:hAnsi="Arial" w:cs="Arial"/>
        </w:rPr>
      </w:pPr>
    </w:p>
    <w:p w:rsidR="002F25CF" w:rsidRDefault="002F25CF">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FE4631" w:rsidRDefault="00FE4631">
      <w:pPr>
        <w:rPr>
          <w:rFonts w:ascii="Arial" w:hAnsi="Arial" w:cs="Arial"/>
        </w:rPr>
      </w:pPr>
    </w:p>
    <w:p w:rsidR="005C634B" w:rsidRDefault="005C634B">
      <w:pPr>
        <w:rPr>
          <w:rFonts w:ascii="Arial" w:hAnsi="Arial" w:cs="Arial"/>
        </w:rPr>
      </w:pPr>
    </w:p>
    <w:tbl>
      <w:tblPr>
        <w:tblStyle w:val="TableGrid"/>
        <w:tblW w:w="9753" w:type="dxa"/>
        <w:tblLook w:val="0000" w:firstRow="0" w:lastRow="0" w:firstColumn="0" w:lastColumn="0" w:noHBand="0" w:noVBand="0"/>
      </w:tblPr>
      <w:tblGrid>
        <w:gridCol w:w="576"/>
        <w:gridCol w:w="8169"/>
        <w:gridCol w:w="1008"/>
      </w:tblGrid>
      <w:tr w:rsidR="00BC2F26" w:rsidTr="00BC2F26">
        <w:trPr>
          <w:trHeight w:val="132"/>
        </w:trPr>
        <w:tc>
          <w:tcPr>
            <w:tcW w:w="9753" w:type="dxa"/>
            <w:gridSpan w:val="3"/>
            <w:shd w:val="clear" w:color="auto" w:fill="D9D9D9" w:themeFill="background1" w:themeFillShade="D9"/>
          </w:tcPr>
          <w:p w:rsidR="00BC2F26" w:rsidRPr="00BC2F26" w:rsidRDefault="00BC2F26" w:rsidP="00BC2F26">
            <w:pPr>
              <w:spacing w:after="200" w:line="276" w:lineRule="auto"/>
              <w:jc w:val="both"/>
              <w:rPr>
                <w:rFonts w:ascii="Arial" w:hAnsi="Arial" w:cs="Arial"/>
                <w:b/>
                <w:sz w:val="24"/>
                <w:szCs w:val="24"/>
              </w:rPr>
            </w:pPr>
            <w:r w:rsidRPr="00BC2F26">
              <w:rPr>
                <w:rFonts w:ascii="Arial" w:hAnsi="Arial" w:cs="Arial"/>
                <w:b/>
                <w:sz w:val="24"/>
                <w:szCs w:val="24"/>
              </w:rPr>
              <w:lastRenderedPageBreak/>
              <w:t>Actions</w:t>
            </w:r>
          </w:p>
        </w:tc>
      </w:tr>
      <w:tr w:rsidR="00FE4631" w:rsidTr="00BC2F26">
        <w:tblPrEx>
          <w:tblLook w:val="04A0" w:firstRow="1" w:lastRow="0" w:firstColumn="1" w:lastColumn="0" w:noHBand="0" w:noVBand="1"/>
        </w:tblPrEx>
        <w:trPr>
          <w:trHeight w:val="1669"/>
        </w:trPr>
        <w:tc>
          <w:tcPr>
            <w:tcW w:w="392" w:type="dxa"/>
          </w:tcPr>
          <w:p w:rsidR="00FE4631" w:rsidRPr="00FE4631" w:rsidRDefault="00FE4631" w:rsidP="00FE4631">
            <w:pPr>
              <w:pStyle w:val="ListParagraph"/>
              <w:numPr>
                <w:ilvl w:val="0"/>
                <w:numId w:val="18"/>
              </w:numPr>
              <w:rPr>
                <w:rFonts w:ascii="Arial" w:hAnsi="Arial" w:cs="Arial"/>
              </w:rPr>
            </w:pPr>
          </w:p>
          <w:p w:rsidR="00FE4631" w:rsidRPr="00FE4631" w:rsidRDefault="00FE4631" w:rsidP="00FE4631">
            <w:pPr>
              <w:pStyle w:val="ListParagraph"/>
              <w:rPr>
                <w:rFonts w:ascii="Arial" w:hAnsi="Arial" w:cs="Arial"/>
              </w:rPr>
            </w:pPr>
          </w:p>
        </w:tc>
        <w:tc>
          <w:tcPr>
            <w:tcW w:w="8341" w:type="dxa"/>
          </w:tcPr>
          <w:p w:rsidR="00FE4631" w:rsidRPr="005C634B" w:rsidRDefault="00FE4631" w:rsidP="005C634B">
            <w:pPr>
              <w:ind w:left="207"/>
              <w:jc w:val="both"/>
              <w:rPr>
                <w:rFonts w:ascii="Arial" w:hAnsi="Arial" w:cs="Arial"/>
              </w:rPr>
            </w:pPr>
          </w:p>
          <w:p w:rsidR="00FE4631" w:rsidRPr="005C634B" w:rsidRDefault="00FE4631" w:rsidP="005C634B">
            <w:pPr>
              <w:jc w:val="both"/>
              <w:rPr>
                <w:rFonts w:ascii="Arial" w:hAnsi="Arial" w:cs="Arial"/>
              </w:rPr>
            </w:pPr>
            <w:r w:rsidRPr="005C634B">
              <w:rPr>
                <w:rFonts w:ascii="Arial" w:hAnsi="Arial" w:cs="Arial"/>
              </w:rPr>
              <w:t>SAB member profiles to be placed on the website</w:t>
            </w:r>
          </w:p>
        </w:tc>
        <w:tc>
          <w:tcPr>
            <w:tcW w:w="1020" w:type="dxa"/>
          </w:tcPr>
          <w:p w:rsidR="00FE4631" w:rsidRPr="005C634B" w:rsidRDefault="00FE4631">
            <w:pPr>
              <w:rPr>
                <w:rFonts w:ascii="Arial" w:hAnsi="Arial" w:cs="Arial"/>
                <w:b/>
              </w:rPr>
            </w:pPr>
          </w:p>
          <w:p w:rsidR="005C634B" w:rsidRPr="005C634B" w:rsidRDefault="005C634B">
            <w:pPr>
              <w:rPr>
                <w:rFonts w:ascii="Arial" w:hAnsi="Arial" w:cs="Arial"/>
                <w:b/>
              </w:rPr>
            </w:pPr>
            <w:r w:rsidRPr="005C634B">
              <w:rPr>
                <w:rFonts w:ascii="Arial" w:hAnsi="Arial" w:cs="Arial"/>
                <w:b/>
              </w:rPr>
              <w:t>SC</w:t>
            </w:r>
          </w:p>
        </w:tc>
      </w:tr>
      <w:tr w:rsidR="00FE4631" w:rsidTr="00BC2F26">
        <w:tblPrEx>
          <w:tblLook w:val="04A0" w:firstRow="1" w:lastRow="0" w:firstColumn="1" w:lastColumn="0" w:noHBand="0" w:noVBand="1"/>
        </w:tblPrEx>
        <w:trPr>
          <w:trHeight w:val="1773"/>
        </w:trPr>
        <w:tc>
          <w:tcPr>
            <w:tcW w:w="392" w:type="dxa"/>
          </w:tcPr>
          <w:p w:rsidR="00FE4631" w:rsidRPr="00FE4631" w:rsidRDefault="00FE4631" w:rsidP="00FE4631">
            <w:pPr>
              <w:pStyle w:val="ListParagraph"/>
              <w:numPr>
                <w:ilvl w:val="0"/>
                <w:numId w:val="18"/>
              </w:numPr>
              <w:rPr>
                <w:rFonts w:ascii="Arial" w:hAnsi="Arial" w:cs="Arial"/>
              </w:rPr>
            </w:pPr>
          </w:p>
          <w:p w:rsidR="00FE4631" w:rsidRPr="00FE4631" w:rsidRDefault="00FE4631" w:rsidP="00FE4631">
            <w:pPr>
              <w:pStyle w:val="ListParagraph"/>
              <w:rPr>
                <w:rFonts w:ascii="Arial" w:hAnsi="Arial" w:cs="Arial"/>
              </w:rPr>
            </w:pPr>
          </w:p>
        </w:tc>
        <w:tc>
          <w:tcPr>
            <w:tcW w:w="8341" w:type="dxa"/>
          </w:tcPr>
          <w:p w:rsidR="00FE4631" w:rsidRPr="005C634B" w:rsidRDefault="00FE4631" w:rsidP="005C634B">
            <w:pPr>
              <w:ind w:left="267"/>
              <w:jc w:val="both"/>
              <w:rPr>
                <w:rFonts w:ascii="Arial" w:hAnsi="Arial" w:cs="Arial"/>
              </w:rPr>
            </w:pPr>
          </w:p>
          <w:p w:rsidR="00FE4631" w:rsidRPr="005C634B" w:rsidRDefault="005C634B" w:rsidP="005C634B">
            <w:pPr>
              <w:jc w:val="both"/>
              <w:rPr>
                <w:rFonts w:ascii="Arial" w:hAnsi="Arial" w:cs="Arial"/>
              </w:rPr>
            </w:pPr>
            <w:r>
              <w:rPr>
                <w:rFonts w:ascii="Arial" w:hAnsi="Arial" w:cs="Arial"/>
              </w:rPr>
              <w:t>Dire</w:t>
            </w:r>
            <w:r w:rsidRPr="005C634B">
              <w:rPr>
                <w:rFonts w:ascii="Arial" w:hAnsi="Arial" w:cs="Arial"/>
              </w:rPr>
              <w:t>ctions</w:t>
            </w:r>
            <w:r w:rsidR="00FE4631" w:rsidRPr="005C634B">
              <w:rPr>
                <w:rFonts w:ascii="Arial" w:hAnsi="Arial" w:cs="Arial"/>
              </w:rPr>
              <w:t xml:space="preserve"> judges hearing substantive matter</w:t>
            </w:r>
            <w:r w:rsidRPr="005C634B">
              <w:rPr>
                <w:rFonts w:ascii="Arial" w:hAnsi="Arial" w:cs="Arial"/>
              </w:rPr>
              <w:t xml:space="preserve"> – BSB to investigate why the rule was introduced.</w:t>
            </w:r>
          </w:p>
        </w:tc>
        <w:tc>
          <w:tcPr>
            <w:tcW w:w="1020" w:type="dxa"/>
          </w:tcPr>
          <w:p w:rsidR="00FE4631" w:rsidRPr="005C634B" w:rsidRDefault="00FE4631">
            <w:pPr>
              <w:rPr>
                <w:rFonts w:ascii="Arial" w:hAnsi="Arial" w:cs="Arial"/>
                <w:b/>
              </w:rPr>
            </w:pPr>
          </w:p>
          <w:p w:rsidR="005C634B" w:rsidRPr="005C634B" w:rsidRDefault="005C634B">
            <w:pPr>
              <w:rPr>
                <w:rFonts w:ascii="Arial" w:hAnsi="Arial" w:cs="Arial"/>
                <w:b/>
              </w:rPr>
            </w:pPr>
            <w:r w:rsidRPr="005C634B">
              <w:rPr>
                <w:rFonts w:ascii="Arial" w:hAnsi="Arial" w:cs="Arial"/>
                <w:b/>
              </w:rPr>
              <w:t>VD</w:t>
            </w:r>
          </w:p>
        </w:tc>
      </w:tr>
      <w:tr w:rsidR="00FE4631" w:rsidTr="00BC2F26">
        <w:tblPrEx>
          <w:tblLook w:val="04A0" w:firstRow="1" w:lastRow="0" w:firstColumn="1" w:lastColumn="0" w:noHBand="0" w:noVBand="1"/>
        </w:tblPrEx>
        <w:trPr>
          <w:trHeight w:val="1773"/>
        </w:trPr>
        <w:tc>
          <w:tcPr>
            <w:tcW w:w="392" w:type="dxa"/>
          </w:tcPr>
          <w:p w:rsidR="00FE4631" w:rsidRPr="00FE4631" w:rsidRDefault="00FE4631" w:rsidP="00FE4631">
            <w:pPr>
              <w:pStyle w:val="ListParagraph"/>
              <w:numPr>
                <w:ilvl w:val="0"/>
                <w:numId w:val="18"/>
              </w:numPr>
              <w:rPr>
                <w:rFonts w:ascii="Arial" w:hAnsi="Arial" w:cs="Arial"/>
              </w:rPr>
            </w:pPr>
          </w:p>
          <w:p w:rsidR="00FE4631" w:rsidRPr="00FE4631" w:rsidRDefault="00FE4631" w:rsidP="00FE4631">
            <w:pPr>
              <w:pStyle w:val="ListParagraph"/>
              <w:rPr>
                <w:rFonts w:ascii="Arial" w:hAnsi="Arial" w:cs="Arial"/>
              </w:rPr>
            </w:pPr>
          </w:p>
        </w:tc>
        <w:tc>
          <w:tcPr>
            <w:tcW w:w="8341" w:type="dxa"/>
          </w:tcPr>
          <w:p w:rsidR="00FE4631" w:rsidRPr="005C634B" w:rsidRDefault="00FE4631" w:rsidP="005C634B">
            <w:pPr>
              <w:jc w:val="both"/>
              <w:rPr>
                <w:rFonts w:ascii="Arial" w:hAnsi="Arial" w:cs="Arial"/>
              </w:rPr>
            </w:pPr>
          </w:p>
          <w:p w:rsidR="005C634B" w:rsidRPr="005C634B" w:rsidRDefault="005C634B" w:rsidP="005C634B">
            <w:pPr>
              <w:jc w:val="both"/>
              <w:rPr>
                <w:rFonts w:ascii="Arial" w:hAnsi="Arial" w:cs="Arial"/>
              </w:rPr>
            </w:pPr>
            <w:r w:rsidRPr="005C634B">
              <w:rPr>
                <w:rFonts w:ascii="Arial" w:hAnsi="Arial" w:cs="Arial"/>
              </w:rPr>
              <w:t>Organisational chart – BTAS and the BSB to provide organisational charts.</w:t>
            </w:r>
          </w:p>
        </w:tc>
        <w:tc>
          <w:tcPr>
            <w:tcW w:w="1020" w:type="dxa"/>
            <w:tcBorders>
              <w:bottom w:val="single" w:sz="4" w:space="0" w:color="auto"/>
            </w:tcBorders>
          </w:tcPr>
          <w:p w:rsidR="00FE4631" w:rsidRPr="005C634B" w:rsidRDefault="00FE4631">
            <w:pPr>
              <w:rPr>
                <w:rFonts w:ascii="Arial" w:hAnsi="Arial" w:cs="Arial"/>
                <w:b/>
              </w:rPr>
            </w:pPr>
          </w:p>
          <w:p w:rsidR="005C634B" w:rsidRPr="005C634B" w:rsidRDefault="005C634B">
            <w:pPr>
              <w:rPr>
                <w:rFonts w:ascii="Arial" w:hAnsi="Arial" w:cs="Arial"/>
                <w:b/>
              </w:rPr>
            </w:pPr>
            <w:r w:rsidRPr="005C634B">
              <w:rPr>
                <w:rFonts w:ascii="Arial" w:hAnsi="Arial" w:cs="Arial"/>
                <w:b/>
              </w:rPr>
              <w:t>SC</w:t>
            </w:r>
          </w:p>
          <w:p w:rsidR="005C634B" w:rsidRPr="005C634B" w:rsidRDefault="005C634B">
            <w:pPr>
              <w:rPr>
                <w:rFonts w:ascii="Arial" w:hAnsi="Arial" w:cs="Arial"/>
                <w:b/>
              </w:rPr>
            </w:pPr>
          </w:p>
          <w:p w:rsidR="005C634B" w:rsidRPr="005C634B" w:rsidRDefault="005C634B">
            <w:pPr>
              <w:rPr>
                <w:rFonts w:ascii="Arial" w:hAnsi="Arial" w:cs="Arial"/>
                <w:b/>
              </w:rPr>
            </w:pPr>
            <w:r w:rsidRPr="005C634B">
              <w:rPr>
                <w:rFonts w:ascii="Arial" w:hAnsi="Arial" w:cs="Arial"/>
                <w:b/>
              </w:rPr>
              <w:t>CC</w:t>
            </w:r>
          </w:p>
        </w:tc>
      </w:tr>
    </w:tbl>
    <w:p w:rsidR="00233F2C" w:rsidRDefault="00233F2C">
      <w:pPr>
        <w:rPr>
          <w:rFonts w:ascii="Arial" w:hAnsi="Arial" w:cs="Arial"/>
          <w:b/>
          <w:u w:val="single"/>
        </w:rPr>
      </w:pPr>
    </w:p>
    <w:p w:rsidR="00233F2C" w:rsidRDefault="00233F2C">
      <w:pPr>
        <w:rPr>
          <w:rFonts w:ascii="Arial" w:hAnsi="Arial" w:cs="Arial"/>
          <w:b/>
          <w:u w:val="single"/>
        </w:rPr>
      </w:pPr>
      <w:r>
        <w:rPr>
          <w:rFonts w:ascii="Arial" w:hAnsi="Arial" w:cs="Arial"/>
          <w:b/>
          <w:u w:val="single"/>
        </w:rPr>
        <w:br w:type="page"/>
      </w:r>
    </w:p>
    <w:p w:rsidR="00233F2C" w:rsidRDefault="00233F2C" w:rsidP="00233F2C">
      <w:pPr>
        <w:kinsoku w:val="0"/>
        <w:overflowPunct w:val="0"/>
        <w:spacing w:before="29" w:line="215" w:lineRule="exact"/>
        <w:jc w:val="center"/>
        <w:textAlignment w:val="baseline"/>
        <w:rPr>
          <w:rFonts w:ascii="Calibri" w:hAnsi="Calibri" w:cs="Calibri"/>
          <w:b/>
          <w:bCs/>
          <w:spacing w:val="-1"/>
          <w:sz w:val="21"/>
          <w:szCs w:val="21"/>
        </w:rPr>
      </w:pPr>
      <w:r>
        <w:rPr>
          <w:rFonts w:ascii="Calibri" w:hAnsi="Calibri" w:cs="Calibri"/>
          <w:b/>
          <w:bCs/>
          <w:spacing w:val="-1"/>
          <w:sz w:val="21"/>
          <w:szCs w:val="21"/>
        </w:rPr>
        <w:lastRenderedPageBreak/>
        <w:t>BTAS STRATEGIC ADVISORY BOARD – TERMS OF REFERENCE</w:t>
      </w:r>
    </w:p>
    <w:p w:rsidR="00233F2C" w:rsidRDefault="00233F2C" w:rsidP="00233F2C">
      <w:pPr>
        <w:kinsoku w:val="0"/>
        <w:overflowPunct w:val="0"/>
        <w:spacing w:before="29" w:line="215" w:lineRule="exact"/>
        <w:jc w:val="center"/>
        <w:textAlignment w:val="baseline"/>
        <w:rPr>
          <w:rFonts w:ascii="Calibri" w:hAnsi="Calibri" w:cs="Calibri"/>
          <w:b/>
          <w:bCs/>
          <w:spacing w:val="-1"/>
          <w:sz w:val="21"/>
          <w:szCs w:val="21"/>
        </w:rPr>
      </w:pPr>
    </w:p>
    <w:p w:rsidR="00233F2C" w:rsidRPr="000A2C0C" w:rsidRDefault="00233F2C" w:rsidP="00233F2C">
      <w:pPr>
        <w:tabs>
          <w:tab w:val="left" w:pos="648"/>
        </w:tabs>
        <w:kinsoku w:val="0"/>
        <w:overflowPunct w:val="0"/>
        <w:spacing w:before="39" w:line="215" w:lineRule="exact"/>
        <w:jc w:val="both"/>
        <w:textAlignment w:val="baseline"/>
        <w:rPr>
          <w:rFonts w:ascii="Calibri" w:hAnsi="Calibri" w:cs="Calibri"/>
          <w:b/>
          <w:bCs/>
          <w:spacing w:val="-3"/>
        </w:rPr>
      </w:pPr>
      <w:r w:rsidRPr="000A2C0C">
        <w:rPr>
          <w:rFonts w:ascii="Calibri" w:hAnsi="Calibri" w:cs="Calibri"/>
          <w:b/>
          <w:bCs/>
          <w:spacing w:val="-3"/>
        </w:rPr>
        <w:t>1</w:t>
      </w:r>
      <w:r w:rsidRPr="000A2C0C">
        <w:rPr>
          <w:rFonts w:ascii="Calibri" w:hAnsi="Calibri" w:cs="Calibri"/>
          <w:b/>
          <w:bCs/>
          <w:spacing w:val="-3"/>
        </w:rPr>
        <w:tab/>
        <w:t>Role</w:t>
      </w:r>
    </w:p>
    <w:p w:rsidR="00233F2C" w:rsidRPr="000A2C0C" w:rsidRDefault="00233F2C" w:rsidP="00233F2C">
      <w:pPr>
        <w:tabs>
          <w:tab w:val="left" w:pos="1296"/>
        </w:tabs>
        <w:kinsoku w:val="0"/>
        <w:overflowPunct w:val="0"/>
        <w:spacing w:before="288" w:line="215" w:lineRule="exact"/>
        <w:ind w:left="648"/>
        <w:jc w:val="both"/>
        <w:textAlignment w:val="baseline"/>
        <w:rPr>
          <w:rFonts w:ascii="Calibri" w:hAnsi="Calibri" w:cs="Calibri"/>
        </w:rPr>
      </w:pPr>
      <w:r w:rsidRPr="000A2C0C">
        <w:rPr>
          <w:rFonts w:ascii="Calibri" w:hAnsi="Calibri" w:cs="Calibri"/>
        </w:rPr>
        <w:t>1.1</w:t>
      </w:r>
      <w:r w:rsidRPr="000A2C0C">
        <w:rPr>
          <w:rFonts w:ascii="Calibri" w:hAnsi="Calibri" w:cs="Calibri"/>
        </w:rPr>
        <w:tab/>
        <w:t>The Strategic Advisory Board will provide an independent source of information,</w:t>
      </w:r>
    </w:p>
    <w:p w:rsidR="00233F2C" w:rsidRPr="000A2C0C" w:rsidRDefault="00233F2C" w:rsidP="00233F2C">
      <w:pPr>
        <w:kinsoku w:val="0"/>
        <w:overflowPunct w:val="0"/>
        <w:spacing w:line="255" w:lineRule="exact"/>
        <w:ind w:left="1368" w:right="144"/>
        <w:jc w:val="both"/>
        <w:textAlignment w:val="baseline"/>
        <w:rPr>
          <w:rFonts w:ascii="Calibri" w:hAnsi="Calibri" w:cs="Calibri"/>
        </w:rPr>
      </w:pPr>
      <w:r w:rsidRPr="000A2C0C">
        <w:rPr>
          <w:rFonts w:ascii="Calibri" w:hAnsi="Calibri" w:cs="Calibri"/>
        </w:rPr>
        <w:t>advice and support to BTAS and COIC on strategic and/or operational issues or risks. This information will include but is not exclusively restricted to:</w:t>
      </w:r>
    </w:p>
    <w:p w:rsidR="00233F2C" w:rsidRPr="000A2C0C" w:rsidRDefault="00233F2C" w:rsidP="00233F2C">
      <w:pPr>
        <w:tabs>
          <w:tab w:val="left" w:pos="2304"/>
        </w:tabs>
        <w:kinsoku w:val="0"/>
        <w:overflowPunct w:val="0"/>
        <w:spacing w:before="288" w:line="216" w:lineRule="exact"/>
        <w:ind w:left="1368"/>
        <w:jc w:val="both"/>
        <w:textAlignment w:val="baseline"/>
        <w:rPr>
          <w:rFonts w:ascii="Calibri" w:hAnsi="Calibri" w:cs="Calibri"/>
          <w:spacing w:val="-3"/>
        </w:rPr>
      </w:pPr>
      <w:r w:rsidRPr="000A2C0C">
        <w:rPr>
          <w:rFonts w:ascii="Calibri" w:hAnsi="Calibri" w:cs="Calibri"/>
          <w:spacing w:val="-3"/>
        </w:rPr>
        <w:t>1.1.1</w:t>
      </w:r>
      <w:r w:rsidRPr="000A2C0C">
        <w:rPr>
          <w:rFonts w:ascii="Calibri" w:hAnsi="Calibri" w:cs="Calibri"/>
          <w:spacing w:val="-3"/>
        </w:rPr>
        <w:tab/>
        <w:t>a detailed understanding of the regulation of barristers and other legally</w:t>
      </w:r>
    </w:p>
    <w:p w:rsidR="00233F2C" w:rsidRPr="000A2C0C" w:rsidRDefault="00233F2C" w:rsidP="00233F2C">
      <w:pPr>
        <w:kinsoku w:val="0"/>
        <w:overflowPunct w:val="0"/>
        <w:spacing w:before="38" w:line="217" w:lineRule="exact"/>
        <w:ind w:left="2304"/>
        <w:jc w:val="both"/>
        <w:textAlignment w:val="baseline"/>
        <w:rPr>
          <w:rFonts w:ascii="Calibri" w:hAnsi="Calibri" w:cs="Calibri"/>
          <w:spacing w:val="-4"/>
        </w:rPr>
      </w:pPr>
      <w:r w:rsidRPr="000A2C0C">
        <w:rPr>
          <w:rFonts w:ascii="Calibri" w:hAnsi="Calibri" w:cs="Calibri"/>
          <w:spacing w:val="-4"/>
        </w:rPr>
        <w:t>qualified professionals;</w:t>
      </w:r>
    </w:p>
    <w:p w:rsidR="00233F2C" w:rsidRPr="000A2C0C" w:rsidRDefault="00233F2C" w:rsidP="00233F2C">
      <w:pPr>
        <w:tabs>
          <w:tab w:val="left" w:pos="2304"/>
        </w:tabs>
        <w:kinsoku w:val="0"/>
        <w:overflowPunct w:val="0"/>
        <w:spacing w:before="282" w:line="217" w:lineRule="exact"/>
        <w:ind w:left="1368"/>
        <w:jc w:val="both"/>
        <w:textAlignment w:val="baseline"/>
        <w:rPr>
          <w:rFonts w:ascii="Calibri" w:hAnsi="Calibri" w:cs="Calibri"/>
        </w:rPr>
      </w:pPr>
      <w:r w:rsidRPr="000A2C0C">
        <w:rPr>
          <w:rFonts w:ascii="Calibri" w:hAnsi="Calibri" w:cs="Calibri"/>
        </w:rPr>
        <w:t>1.1.2</w:t>
      </w:r>
      <w:r w:rsidRPr="000A2C0C">
        <w:rPr>
          <w:rFonts w:ascii="Calibri" w:hAnsi="Calibri" w:cs="Calibri"/>
        </w:rPr>
        <w:tab/>
        <w:t>insights and ideas, and "wise counsel" on issues raised by the BTAS or</w:t>
      </w:r>
    </w:p>
    <w:p w:rsidR="00233F2C" w:rsidRPr="000A2C0C" w:rsidRDefault="00233F2C" w:rsidP="00233F2C">
      <w:pPr>
        <w:kinsoku w:val="0"/>
        <w:overflowPunct w:val="0"/>
        <w:spacing w:before="38" w:line="215" w:lineRule="exact"/>
        <w:ind w:left="2304"/>
        <w:jc w:val="both"/>
        <w:textAlignment w:val="baseline"/>
        <w:rPr>
          <w:rFonts w:ascii="Calibri" w:hAnsi="Calibri" w:cs="Calibri"/>
          <w:spacing w:val="-9"/>
        </w:rPr>
      </w:pPr>
      <w:r w:rsidRPr="000A2C0C">
        <w:rPr>
          <w:rFonts w:ascii="Calibri" w:hAnsi="Calibri" w:cs="Calibri"/>
          <w:spacing w:val="-9"/>
        </w:rPr>
        <w:t>COIC;</w:t>
      </w:r>
    </w:p>
    <w:p w:rsidR="00233F2C" w:rsidRPr="000A2C0C" w:rsidRDefault="00233F2C" w:rsidP="00233F2C">
      <w:pPr>
        <w:tabs>
          <w:tab w:val="left" w:pos="2304"/>
        </w:tabs>
        <w:kinsoku w:val="0"/>
        <w:overflowPunct w:val="0"/>
        <w:spacing w:before="289" w:line="216" w:lineRule="exact"/>
        <w:ind w:left="1368"/>
        <w:jc w:val="both"/>
        <w:textAlignment w:val="baseline"/>
        <w:rPr>
          <w:rFonts w:ascii="Calibri" w:hAnsi="Calibri" w:cs="Calibri"/>
          <w:spacing w:val="2"/>
        </w:rPr>
      </w:pPr>
      <w:r w:rsidRPr="000A2C0C">
        <w:rPr>
          <w:rFonts w:ascii="Calibri" w:hAnsi="Calibri" w:cs="Calibri"/>
          <w:spacing w:val="2"/>
        </w:rPr>
        <w:t>1.1.3</w:t>
      </w:r>
      <w:r w:rsidRPr="000A2C0C">
        <w:rPr>
          <w:rFonts w:ascii="Calibri" w:hAnsi="Calibri" w:cs="Calibri"/>
          <w:spacing w:val="2"/>
        </w:rPr>
        <w:tab/>
        <w:t>a challenge to ensure the continued relevance of the BTAS working</w:t>
      </w:r>
    </w:p>
    <w:p w:rsidR="00233F2C" w:rsidRPr="000A2C0C" w:rsidRDefault="00233F2C" w:rsidP="00233F2C">
      <w:pPr>
        <w:kinsoku w:val="0"/>
        <w:overflowPunct w:val="0"/>
        <w:spacing w:before="33" w:line="217" w:lineRule="exact"/>
        <w:ind w:left="2304"/>
        <w:jc w:val="both"/>
        <w:textAlignment w:val="baseline"/>
        <w:rPr>
          <w:rFonts w:ascii="Calibri" w:hAnsi="Calibri" w:cs="Calibri"/>
          <w:spacing w:val="-7"/>
        </w:rPr>
      </w:pPr>
      <w:r w:rsidRPr="000A2C0C">
        <w:rPr>
          <w:rFonts w:ascii="Calibri" w:hAnsi="Calibri" w:cs="Calibri"/>
          <w:spacing w:val="-7"/>
        </w:rPr>
        <w:t>Methodologies;</w:t>
      </w:r>
    </w:p>
    <w:p w:rsidR="00233F2C" w:rsidRPr="000A2C0C" w:rsidRDefault="00233F2C" w:rsidP="00233F2C">
      <w:pPr>
        <w:tabs>
          <w:tab w:val="left" w:pos="2304"/>
        </w:tabs>
        <w:kinsoku w:val="0"/>
        <w:overflowPunct w:val="0"/>
        <w:spacing w:before="292" w:line="217" w:lineRule="exact"/>
        <w:ind w:left="1368"/>
        <w:jc w:val="both"/>
        <w:textAlignment w:val="baseline"/>
        <w:rPr>
          <w:rFonts w:ascii="Calibri" w:hAnsi="Calibri" w:cs="Calibri"/>
          <w:spacing w:val="-4"/>
        </w:rPr>
      </w:pPr>
      <w:r w:rsidRPr="000A2C0C">
        <w:rPr>
          <w:rFonts w:ascii="Calibri" w:hAnsi="Calibri" w:cs="Calibri"/>
          <w:spacing w:val="-4"/>
        </w:rPr>
        <w:t>1.1.4</w:t>
      </w:r>
      <w:r w:rsidRPr="000A2C0C">
        <w:rPr>
          <w:rFonts w:ascii="Calibri" w:hAnsi="Calibri" w:cs="Calibri"/>
          <w:spacing w:val="-4"/>
        </w:rPr>
        <w:tab/>
        <w:t>a professional resource for the COIC director and the BTAS registrar; and</w:t>
      </w:r>
    </w:p>
    <w:p w:rsidR="00233F2C" w:rsidRPr="000A2C0C" w:rsidRDefault="00233F2C" w:rsidP="00233F2C">
      <w:pPr>
        <w:tabs>
          <w:tab w:val="left" w:pos="2304"/>
        </w:tabs>
        <w:kinsoku w:val="0"/>
        <w:overflowPunct w:val="0"/>
        <w:spacing w:before="287" w:line="217" w:lineRule="exact"/>
        <w:ind w:left="1368"/>
        <w:jc w:val="both"/>
        <w:textAlignment w:val="baseline"/>
        <w:rPr>
          <w:rFonts w:ascii="Calibri" w:hAnsi="Calibri" w:cs="Calibri"/>
          <w:spacing w:val="3"/>
        </w:rPr>
      </w:pPr>
      <w:r w:rsidRPr="000A2C0C">
        <w:rPr>
          <w:rFonts w:ascii="Calibri" w:hAnsi="Calibri" w:cs="Calibri"/>
          <w:spacing w:val="3"/>
        </w:rPr>
        <w:t>1.1.5</w:t>
      </w:r>
      <w:r w:rsidRPr="000A2C0C">
        <w:rPr>
          <w:rFonts w:ascii="Calibri" w:hAnsi="Calibri" w:cs="Calibri"/>
          <w:spacing w:val="3"/>
        </w:rPr>
        <w:tab/>
        <w:t xml:space="preserve">a constructive challenge to senior staff to consider options for </w:t>
      </w:r>
      <w:r w:rsidRPr="000A2C0C">
        <w:rPr>
          <w:rFonts w:ascii="Calibri" w:hAnsi="Calibri" w:cs="Calibri"/>
          <w:spacing w:val="3"/>
        </w:rPr>
        <w:tab/>
        <w:t xml:space="preserve">                           </w:t>
      </w:r>
      <w:r w:rsidRPr="000A2C0C">
        <w:rPr>
          <w:rFonts w:ascii="Calibri" w:hAnsi="Calibri" w:cs="Calibri"/>
          <w:spacing w:val="3"/>
        </w:rPr>
        <w:tab/>
        <w:t>improvement or change.</w:t>
      </w:r>
    </w:p>
    <w:p w:rsidR="00233F2C" w:rsidRPr="000A2C0C" w:rsidRDefault="00233F2C" w:rsidP="00233F2C">
      <w:pPr>
        <w:tabs>
          <w:tab w:val="left" w:pos="648"/>
        </w:tabs>
        <w:kinsoku w:val="0"/>
        <w:overflowPunct w:val="0"/>
        <w:spacing w:before="313" w:line="215" w:lineRule="exact"/>
        <w:jc w:val="both"/>
        <w:textAlignment w:val="baseline"/>
        <w:rPr>
          <w:rFonts w:ascii="Calibri" w:hAnsi="Calibri" w:cs="Calibri"/>
          <w:b/>
          <w:bCs/>
        </w:rPr>
      </w:pPr>
      <w:r w:rsidRPr="000A2C0C">
        <w:rPr>
          <w:rFonts w:ascii="Calibri" w:hAnsi="Calibri" w:cs="Calibri"/>
          <w:b/>
          <w:bCs/>
        </w:rPr>
        <w:t>2</w:t>
      </w:r>
      <w:r w:rsidRPr="000A2C0C">
        <w:rPr>
          <w:rFonts w:ascii="Calibri" w:hAnsi="Calibri" w:cs="Calibri"/>
          <w:b/>
          <w:bCs/>
        </w:rPr>
        <w:tab/>
        <w:t>Scope of responsibility</w:t>
      </w:r>
    </w:p>
    <w:p w:rsidR="00233F2C" w:rsidRPr="000A2C0C" w:rsidRDefault="00233F2C" w:rsidP="00233F2C">
      <w:pPr>
        <w:tabs>
          <w:tab w:val="left" w:pos="1296"/>
        </w:tabs>
        <w:kinsoku w:val="0"/>
        <w:overflowPunct w:val="0"/>
        <w:spacing w:before="288" w:line="216" w:lineRule="exact"/>
        <w:ind w:left="1296" w:hanging="587"/>
        <w:jc w:val="both"/>
        <w:textAlignment w:val="baseline"/>
        <w:rPr>
          <w:rFonts w:ascii="Calibri" w:hAnsi="Calibri" w:cs="Calibri"/>
          <w:spacing w:val="1"/>
        </w:rPr>
      </w:pPr>
      <w:r w:rsidRPr="000A2C0C">
        <w:rPr>
          <w:rFonts w:ascii="Calibri" w:hAnsi="Calibri" w:cs="Calibri"/>
          <w:spacing w:val="1"/>
        </w:rPr>
        <w:t>2.1</w:t>
      </w:r>
      <w:r w:rsidRPr="000A2C0C">
        <w:rPr>
          <w:rFonts w:ascii="Calibri" w:hAnsi="Calibri" w:cs="Calibri"/>
          <w:spacing w:val="1"/>
        </w:rPr>
        <w:tab/>
        <w:t>The Strategic Advisory Board shall meet under the authority of COIC. Its function       is to provide information, advice and support. It is not a</w:t>
      </w:r>
      <w:r w:rsidRPr="000A2C0C">
        <w:rPr>
          <w:rFonts w:ascii="Calibri" w:hAnsi="Calibri" w:cs="Calibri"/>
        </w:rPr>
        <w:t xml:space="preserve"> directional board in the governance sense,</w:t>
      </w:r>
      <w:r w:rsidRPr="000A2C0C">
        <w:t xml:space="preserve"> </w:t>
      </w:r>
      <w:r w:rsidRPr="000A2C0C">
        <w:rPr>
          <w:rFonts w:ascii="Calibri" w:hAnsi="Calibri" w:cs="Calibri"/>
        </w:rPr>
        <w:t>and will not take operational decisions.</w:t>
      </w:r>
    </w:p>
    <w:p w:rsidR="00233F2C" w:rsidRPr="000A2C0C" w:rsidRDefault="00233F2C" w:rsidP="00233F2C">
      <w:pPr>
        <w:tabs>
          <w:tab w:val="left" w:pos="1296"/>
        </w:tabs>
        <w:kinsoku w:val="0"/>
        <w:overflowPunct w:val="0"/>
        <w:spacing w:before="288" w:line="216" w:lineRule="exact"/>
        <w:ind w:left="1296" w:hanging="587"/>
        <w:jc w:val="both"/>
        <w:textAlignment w:val="baseline"/>
        <w:rPr>
          <w:rFonts w:ascii="Calibri" w:hAnsi="Calibri" w:cs="Calibri"/>
          <w:spacing w:val="2"/>
        </w:rPr>
      </w:pPr>
      <w:r w:rsidRPr="000A2C0C">
        <w:rPr>
          <w:rFonts w:ascii="Calibri" w:hAnsi="Calibri" w:cs="Calibri"/>
          <w:spacing w:val="2"/>
        </w:rPr>
        <w:t>2.2</w:t>
      </w:r>
      <w:r w:rsidRPr="000A2C0C">
        <w:rPr>
          <w:rFonts w:ascii="Calibri" w:hAnsi="Calibri" w:cs="Calibri"/>
          <w:spacing w:val="2"/>
        </w:rPr>
        <w:tab/>
        <w:t xml:space="preserve">The Strategic Advisory Board is responsible for settling its own agenda and for   </w:t>
      </w:r>
      <w:r w:rsidRPr="000A2C0C">
        <w:rPr>
          <w:rFonts w:ascii="Calibri" w:hAnsi="Calibri" w:cs="Calibri"/>
        </w:rPr>
        <w:t xml:space="preserve">determining its detailed terms of reference. </w:t>
      </w:r>
    </w:p>
    <w:p w:rsidR="00233F2C" w:rsidRPr="000A2C0C" w:rsidRDefault="00233F2C" w:rsidP="00233F2C">
      <w:pPr>
        <w:tabs>
          <w:tab w:val="left" w:pos="648"/>
        </w:tabs>
        <w:kinsoku w:val="0"/>
        <w:overflowPunct w:val="0"/>
        <w:spacing w:before="313" w:line="215" w:lineRule="exact"/>
        <w:jc w:val="both"/>
        <w:textAlignment w:val="baseline"/>
        <w:rPr>
          <w:rFonts w:ascii="Calibri" w:hAnsi="Calibri" w:cs="Calibri"/>
          <w:b/>
          <w:bCs/>
        </w:rPr>
      </w:pPr>
      <w:r w:rsidRPr="000A2C0C">
        <w:rPr>
          <w:rFonts w:ascii="Calibri" w:hAnsi="Calibri" w:cs="Calibri"/>
          <w:b/>
          <w:bCs/>
        </w:rPr>
        <w:t>3</w:t>
      </w:r>
      <w:r w:rsidRPr="000A2C0C">
        <w:rPr>
          <w:rFonts w:ascii="Calibri" w:hAnsi="Calibri" w:cs="Calibri"/>
          <w:b/>
          <w:bCs/>
        </w:rPr>
        <w:tab/>
        <w:t>Accountability</w:t>
      </w:r>
    </w:p>
    <w:p w:rsidR="00233F2C" w:rsidRPr="000A2C0C" w:rsidRDefault="00233F2C" w:rsidP="00233F2C">
      <w:pPr>
        <w:tabs>
          <w:tab w:val="left" w:pos="1296"/>
        </w:tabs>
        <w:kinsoku w:val="0"/>
        <w:overflowPunct w:val="0"/>
        <w:spacing w:before="288" w:line="216" w:lineRule="exact"/>
        <w:ind w:left="648"/>
        <w:jc w:val="both"/>
        <w:textAlignment w:val="baseline"/>
        <w:rPr>
          <w:rFonts w:ascii="Calibri" w:hAnsi="Calibri" w:cs="Calibri"/>
          <w:spacing w:val="-4"/>
        </w:rPr>
      </w:pPr>
      <w:r w:rsidRPr="000A2C0C">
        <w:rPr>
          <w:rFonts w:ascii="Calibri" w:hAnsi="Calibri" w:cs="Calibri"/>
          <w:spacing w:val="-4"/>
        </w:rPr>
        <w:t>3.1</w:t>
      </w:r>
      <w:r w:rsidRPr="000A2C0C">
        <w:rPr>
          <w:rFonts w:ascii="Calibri" w:hAnsi="Calibri" w:cs="Calibri"/>
          <w:spacing w:val="-4"/>
        </w:rPr>
        <w:tab/>
        <w:t>The Strategic Advisory Board shall be accountable to the COIC's Board of Trustees.</w:t>
      </w:r>
    </w:p>
    <w:p w:rsidR="00233F2C" w:rsidRPr="000A2C0C" w:rsidRDefault="00233F2C" w:rsidP="00233F2C">
      <w:pPr>
        <w:tabs>
          <w:tab w:val="left" w:pos="648"/>
        </w:tabs>
        <w:kinsoku w:val="0"/>
        <w:overflowPunct w:val="0"/>
        <w:spacing w:before="313" w:line="215" w:lineRule="exact"/>
        <w:jc w:val="both"/>
        <w:textAlignment w:val="baseline"/>
        <w:rPr>
          <w:rFonts w:ascii="Calibri" w:hAnsi="Calibri" w:cs="Calibri"/>
          <w:b/>
          <w:bCs/>
          <w:spacing w:val="-1"/>
        </w:rPr>
      </w:pPr>
      <w:r w:rsidRPr="000A2C0C">
        <w:rPr>
          <w:rFonts w:ascii="Calibri" w:hAnsi="Calibri" w:cs="Calibri"/>
          <w:b/>
          <w:bCs/>
          <w:spacing w:val="-1"/>
        </w:rPr>
        <w:t>4</w:t>
      </w:r>
      <w:r w:rsidRPr="000A2C0C">
        <w:rPr>
          <w:rFonts w:ascii="Calibri" w:hAnsi="Calibri" w:cs="Calibri"/>
          <w:b/>
          <w:bCs/>
          <w:spacing w:val="-1"/>
        </w:rPr>
        <w:tab/>
        <w:t>Composition</w:t>
      </w:r>
    </w:p>
    <w:p w:rsidR="00233F2C" w:rsidRPr="000A2C0C" w:rsidRDefault="00233F2C" w:rsidP="00233F2C">
      <w:pPr>
        <w:tabs>
          <w:tab w:val="left" w:pos="1296"/>
        </w:tabs>
        <w:kinsoku w:val="0"/>
        <w:overflowPunct w:val="0"/>
        <w:spacing w:before="288" w:line="216" w:lineRule="exact"/>
        <w:ind w:left="648"/>
        <w:jc w:val="both"/>
        <w:textAlignment w:val="baseline"/>
        <w:rPr>
          <w:rFonts w:ascii="Calibri" w:hAnsi="Calibri" w:cs="Calibri"/>
          <w:spacing w:val="-4"/>
        </w:rPr>
      </w:pPr>
      <w:r w:rsidRPr="000A2C0C">
        <w:rPr>
          <w:rFonts w:ascii="Calibri" w:hAnsi="Calibri" w:cs="Calibri"/>
          <w:spacing w:val="-4"/>
        </w:rPr>
        <w:t>4.1</w:t>
      </w:r>
      <w:r w:rsidRPr="000A2C0C">
        <w:rPr>
          <w:rFonts w:ascii="Calibri" w:hAnsi="Calibri" w:cs="Calibri"/>
          <w:spacing w:val="-4"/>
        </w:rPr>
        <w:tab/>
        <w:t>The Strategic Advisory Board will be constituted from individuals who have extensive</w:t>
      </w:r>
    </w:p>
    <w:p w:rsidR="00233F2C" w:rsidRPr="000A2C0C" w:rsidRDefault="00233F2C" w:rsidP="00233F2C">
      <w:pPr>
        <w:kinsoku w:val="0"/>
        <w:overflowPunct w:val="0"/>
        <w:spacing w:before="38" w:line="217" w:lineRule="exact"/>
        <w:ind w:left="1368"/>
        <w:jc w:val="both"/>
        <w:textAlignment w:val="baseline"/>
        <w:rPr>
          <w:rFonts w:ascii="Calibri" w:hAnsi="Calibri" w:cs="Calibri"/>
          <w:spacing w:val="-5"/>
        </w:rPr>
      </w:pPr>
      <w:r w:rsidRPr="000A2C0C">
        <w:rPr>
          <w:rFonts w:ascii="Calibri" w:hAnsi="Calibri" w:cs="Calibri"/>
          <w:spacing w:val="-5"/>
        </w:rPr>
        <w:t>experience and special expertise across the legal and regulatory sectors.</w:t>
      </w:r>
    </w:p>
    <w:p w:rsidR="00233F2C" w:rsidRPr="000A2C0C" w:rsidRDefault="00233F2C" w:rsidP="00233F2C">
      <w:pPr>
        <w:tabs>
          <w:tab w:val="left" w:pos="1296"/>
        </w:tabs>
        <w:kinsoku w:val="0"/>
        <w:overflowPunct w:val="0"/>
        <w:spacing w:before="287" w:line="217" w:lineRule="exact"/>
        <w:ind w:left="648"/>
        <w:jc w:val="both"/>
        <w:textAlignment w:val="baseline"/>
        <w:rPr>
          <w:rFonts w:ascii="Calibri" w:hAnsi="Calibri" w:cs="Calibri"/>
          <w:spacing w:val="2"/>
        </w:rPr>
      </w:pPr>
      <w:r w:rsidRPr="000A2C0C">
        <w:rPr>
          <w:rFonts w:ascii="Calibri" w:hAnsi="Calibri" w:cs="Calibri"/>
          <w:spacing w:val="2"/>
        </w:rPr>
        <w:t>4.2</w:t>
      </w:r>
      <w:r w:rsidRPr="000A2C0C">
        <w:rPr>
          <w:rFonts w:ascii="Calibri" w:hAnsi="Calibri" w:cs="Calibri"/>
          <w:spacing w:val="2"/>
        </w:rPr>
        <w:tab/>
        <w:t>The Strategic Advisory Board shall have a Chair, who shall be appointed by the</w:t>
      </w:r>
    </w:p>
    <w:p w:rsidR="00233F2C" w:rsidRPr="000A2C0C" w:rsidRDefault="00233F2C" w:rsidP="00233F2C">
      <w:pPr>
        <w:kinsoku w:val="0"/>
        <w:overflowPunct w:val="0"/>
        <w:spacing w:before="38" w:line="216" w:lineRule="exact"/>
        <w:jc w:val="both"/>
        <w:textAlignment w:val="baseline"/>
        <w:rPr>
          <w:rFonts w:ascii="Calibri" w:hAnsi="Calibri" w:cs="Calibri"/>
          <w:spacing w:val="-5"/>
        </w:rPr>
      </w:pPr>
      <w:r>
        <w:rPr>
          <w:rFonts w:ascii="Calibri" w:hAnsi="Calibri" w:cs="Calibri"/>
          <w:spacing w:val="-5"/>
        </w:rPr>
        <w:t xml:space="preserve">                             </w:t>
      </w:r>
      <w:r w:rsidRPr="000A2C0C">
        <w:rPr>
          <w:rFonts w:ascii="Calibri" w:hAnsi="Calibri" w:cs="Calibri"/>
          <w:spacing w:val="-5"/>
        </w:rPr>
        <w:t>President of COIC in consultation with the Board. The Chair shall be a Lay person.</w:t>
      </w:r>
    </w:p>
    <w:p w:rsidR="00233F2C" w:rsidRPr="000A2C0C" w:rsidRDefault="00233F2C" w:rsidP="00233F2C">
      <w:pPr>
        <w:tabs>
          <w:tab w:val="left" w:pos="1296"/>
        </w:tabs>
        <w:kinsoku w:val="0"/>
        <w:overflowPunct w:val="0"/>
        <w:spacing w:before="288" w:line="216" w:lineRule="exact"/>
        <w:ind w:left="648"/>
        <w:jc w:val="both"/>
        <w:textAlignment w:val="baseline"/>
        <w:rPr>
          <w:rFonts w:ascii="Calibri" w:hAnsi="Calibri" w:cs="Calibri"/>
          <w:spacing w:val="-5"/>
        </w:rPr>
      </w:pPr>
      <w:r w:rsidRPr="000A2C0C">
        <w:rPr>
          <w:rFonts w:ascii="Calibri" w:hAnsi="Calibri" w:cs="Calibri"/>
          <w:spacing w:val="-5"/>
        </w:rPr>
        <w:t>4.3</w:t>
      </w:r>
      <w:r w:rsidRPr="000A2C0C">
        <w:rPr>
          <w:rFonts w:ascii="Calibri" w:hAnsi="Calibri" w:cs="Calibri"/>
          <w:spacing w:val="-5"/>
        </w:rPr>
        <w:tab/>
        <w:t>Membership is confined to non-employees of BTAS or COIC.</w:t>
      </w:r>
    </w:p>
    <w:p w:rsidR="00233F2C" w:rsidRPr="000A2C0C" w:rsidRDefault="00233F2C" w:rsidP="00233F2C">
      <w:pPr>
        <w:tabs>
          <w:tab w:val="left" w:pos="1296"/>
        </w:tabs>
        <w:kinsoku w:val="0"/>
        <w:overflowPunct w:val="0"/>
        <w:spacing w:before="288" w:line="216" w:lineRule="exact"/>
        <w:ind w:left="648"/>
        <w:jc w:val="both"/>
        <w:textAlignment w:val="baseline"/>
        <w:rPr>
          <w:rFonts w:ascii="Calibri" w:hAnsi="Calibri" w:cs="Calibri"/>
          <w:spacing w:val="-5"/>
        </w:rPr>
      </w:pPr>
      <w:r w:rsidRPr="000A2C0C">
        <w:rPr>
          <w:rFonts w:ascii="Calibri" w:hAnsi="Calibri" w:cs="Calibri"/>
          <w:spacing w:val="-5"/>
        </w:rPr>
        <w:t>4.4</w:t>
      </w:r>
      <w:r w:rsidRPr="000A2C0C">
        <w:rPr>
          <w:rFonts w:ascii="Calibri" w:hAnsi="Calibri" w:cs="Calibri"/>
          <w:spacing w:val="-5"/>
        </w:rPr>
        <w:tab/>
        <w:t>The membership shall be:</w:t>
      </w:r>
    </w:p>
    <w:p w:rsidR="00233F2C" w:rsidRPr="000A2C0C" w:rsidRDefault="00233F2C" w:rsidP="00233F2C">
      <w:pPr>
        <w:tabs>
          <w:tab w:val="left" w:pos="2304"/>
        </w:tabs>
        <w:kinsoku w:val="0"/>
        <w:overflowPunct w:val="0"/>
        <w:spacing w:before="288" w:line="216" w:lineRule="exact"/>
        <w:ind w:left="1368"/>
        <w:jc w:val="both"/>
        <w:textAlignment w:val="baseline"/>
        <w:rPr>
          <w:rFonts w:ascii="Calibri" w:hAnsi="Calibri" w:cs="Calibri"/>
          <w:spacing w:val="-3"/>
        </w:rPr>
      </w:pPr>
      <w:r w:rsidRPr="000A2C0C">
        <w:rPr>
          <w:rFonts w:ascii="Calibri" w:hAnsi="Calibri" w:cs="Calibri"/>
          <w:spacing w:val="-3"/>
        </w:rPr>
        <w:t>4.4.1</w:t>
      </w:r>
      <w:r w:rsidRPr="000A2C0C">
        <w:rPr>
          <w:rFonts w:ascii="Calibri" w:hAnsi="Calibri" w:cs="Calibri"/>
          <w:spacing w:val="-3"/>
        </w:rPr>
        <w:tab/>
        <w:t>Chair of the Disciplinary Tribunal Service;</w:t>
      </w:r>
    </w:p>
    <w:p w:rsidR="00233F2C" w:rsidRPr="000A2C0C" w:rsidRDefault="00233F2C" w:rsidP="00233F2C">
      <w:pPr>
        <w:tabs>
          <w:tab w:val="left" w:pos="2304"/>
        </w:tabs>
        <w:kinsoku w:val="0"/>
        <w:overflowPunct w:val="0"/>
        <w:spacing w:before="38" w:line="215" w:lineRule="exact"/>
        <w:ind w:left="1368"/>
        <w:jc w:val="both"/>
        <w:textAlignment w:val="baseline"/>
        <w:rPr>
          <w:rFonts w:ascii="Calibri" w:hAnsi="Calibri" w:cs="Calibri"/>
          <w:spacing w:val="-4"/>
        </w:rPr>
      </w:pPr>
      <w:r w:rsidRPr="000A2C0C">
        <w:rPr>
          <w:rFonts w:ascii="Calibri" w:hAnsi="Calibri" w:cs="Calibri"/>
          <w:spacing w:val="-4"/>
        </w:rPr>
        <w:t>4.4.2</w:t>
      </w:r>
      <w:r w:rsidRPr="000A2C0C">
        <w:rPr>
          <w:rFonts w:ascii="Calibri" w:hAnsi="Calibri" w:cs="Calibri"/>
          <w:spacing w:val="-4"/>
        </w:rPr>
        <w:tab/>
        <w:t>Chair of the Inns' Conduct Committee;</w:t>
      </w:r>
    </w:p>
    <w:p w:rsidR="00233F2C" w:rsidRPr="000A2C0C" w:rsidRDefault="00233F2C" w:rsidP="00233F2C">
      <w:pPr>
        <w:tabs>
          <w:tab w:val="left" w:pos="2304"/>
        </w:tabs>
        <w:kinsoku w:val="0"/>
        <w:overflowPunct w:val="0"/>
        <w:spacing w:before="40" w:line="216" w:lineRule="exact"/>
        <w:ind w:left="1368"/>
        <w:jc w:val="both"/>
        <w:textAlignment w:val="baseline"/>
        <w:rPr>
          <w:rFonts w:ascii="Calibri" w:hAnsi="Calibri" w:cs="Calibri"/>
          <w:spacing w:val="-4"/>
        </w:rPr>
      </w:pPr>
      <w:r w:rsidRPr="000A2C0C">
        <w:rPr>
          <w:rFonts w:ascii="Calibri" w:hAnsi="Calibri" w:cs="Calibri"/>
          <w:spacing w:val="-4"/>
        </w:rPr>
        <w:lastRenderedPageBreak/>
        <w:t>4.4.3</w:t>
      </w:r>
      <w:r w:rsidRPr="000A2C0C">
        <w:rPr>
          <w:rFonts w:ascii="Calibri" w:hAnsi="Calibri" w:cs="Calibri"/>
          <w:spacing w:val="-4"/>
        </w:rPr>
        <w:tab/>
        <w:t>Lay member of the Tribunal Appointments Body;</w:t>
      </w:r>
    </w:p>
    <w:p w:rsidR="00233F2C" w:rsidRPr="000A2C0C" w:rsidRDefault="00233F2C" w:rsidP="00233F2C">
      <w:pPr>
        <w:tabs>
          <w:tab w:val="left" w:pos="2376"/>
        </w:tabs>
        <w:kinsoku w:val="0"/>
        <w:overflowPunct w:val="0"/>
        <w:spacing w:before="48" w:line="215" w:lineRule="exact"/>
        <w:ind w:left="1440"/>
        <w:jc w:val="both"/>
        <w:textAlignment w:val="baseline"/>
        <w:rPr>
          <w:rFonts w:ascii="Calibri" w:hAnsi="Calibri" w:cs="Calibri"/>
          <w:spacing w:val="-4"/>
        </w:rPr>
      </w:pPr>
      <w:r w:rsidRPr="000A2C0C">
        <w:rPr>
          <w:rFonts w:ascii="Calibri" w:hAnsi="Calibri" w:cs="Calibri"/>
          <w:spacing w:val="-4"/>
        </w:rPr>
        <w:t>4.4.4</w:t>
      </w:r>
      <w:r w:rsidRPr="000A2C0C">
        <w:rPr>
          <w:rFonts w:ascii="Calibri" w:hAnsi="Calibri" w:cs="Calibri"/>
          <w:spacing w:val="-4"/>
        </w:rPr>
        <w:tab/>
        <w:t>Director of the Bar Standards Board;</w:t>
      </w:r>
    </w:p>
    <w:p w:rsidR="00233F2C" w:rsidRPr="000A2C0C" w:rsidRDefault="00233F2C" w:rsidP="00233F2C">
      <w:pPr>
        <w:tabs>
          <w:tab w:val="left" w:pos="2376"/>
        </w:tabs>
        <w:kinsoku w:val="0"/>
        <w:overflowPunct w:val="0"/>
        <w:spacing w:before="39" w:line="216" w:lineRule="exact"/>
        <w:ind w:left="1440"/>
        <w:jc w:val="both"/>
        <w:textAlignment w:val="baseline"/>
        <w:rPr>
          <w:rFonts w:ascii="Calibri" w:hAnsi="Calibri" w:cs="Calibri"/>
          <w:spacing w:val="-4"/>
        </w:rPr>
      </w:pPr>
      <w:r w:rsidRPr="000A2C0C">
        <w:rPr>
          <w:rFonts w:ascii="Calibri" w:hAnsi="Calibri" w:cs="Calibri"/>
          <w:spacing w:val="-4"/>
        </w:rPr>
        <w:t>4.4.5</w:t>
      </w:r>
      <w:r w:rsidRPr="000A2C0C">
        <w:rPr>
          <w:rFonts w:ascii="Calibri" w:hAnsi="Calibri" w:cs="Calibri"/>
          <w:spacing w:val="-4"/>
        </w:rPr>
        <w:tab/>
        <w:t>Lay Board member of the Bar Standards Board;</w:t>
      </w:r>
    </w:p>
    <w:p w:rsidR="00233F2C" w:rsidRPr="000A2C0C" w:rsidRDefault="00233F2C" w:rsidP="00233F2C">
      <w:pPr>
        <w:tabs>
          <w:tab w:val="left" w:pos="2376"/>
        </w:tabs>
        <w:kinsoku w:val="0"/>
        <w:overflowPunct w:val="0"/>
        <w:spacing w:before="38" w:line="217" w:lineRule="exact"/>
        <w:ind w:left="1440"/>
        <w:jc w:val="both"/>
        <w:textAlignment w:val="baseline"/>
        <w:rPr>
          <w:rFonts w:ascii="Calibri" w:hAnsi="Calibri" w:cs="Calibri"/>
          <w:spacing w:val="-4"/>
        </w:rPr>
      </w:pPr>
      <w:r w:rsidRPr="000A2C0C">
        <w:rPr>
          <w:rFonts w:ascii="Calibri" w:hAnsi="Calibri" w:cs="Calibri"/>
          <w:spacing w:val="-4"/>
        </w:rPr>
        <w:t>4.4.6</w:t>
      </w:r>
      <w:r w:rsidRPr="000A2C0C">
        <w:rPr>
          <w:rFonts w:ascii="Calibri" w:hAnsi="Calibri" w:cs="Calibri"/>
          <w:spacing w:val="-4"/>
        </w:rPr>
        <w:tab/>
        <w:t>One panelist member of the Disciplinary Tribunal pool; and</w:t>
      </w:r>
    </w:p>
    <w:p w:rsidR="00233F2C" w:rsidRPr="000A2C0C" w:rsidRDefault="00233F2C" w:rsidP="00233F2C">
      <w:pPr>
        <w:tabs>
          <w:tab w:val="left" w:pos="2376"/>
        </w:tabs>
        <w:kinsoku w:val="0"/>
        <w:overflowPunct w:val="0"/>
        <w:spacing w:before="33" w:line="215" w:lineRule="exact"/>
        <w:ind w:left="1440"/>
        <w:jc w:val="both"/>
        <w:textAlignment w:val="baseline"/>
        <w:rPr>
          <w:rFonts w:ascii="Calibri" w:hAnsi="Calibri" w:cs="Calibri"/>
          <w:spacing w:val="-4"/>
        </w:rPr>
      </w:pPr>
      <w:r>
        <w:rPr>
          <w:rFonts w:ascii="Calibri" w:hAnsi="Calibri" w:cs="Calibri"/>
          <w:spacing w:val="-4"/>
        </w:rPr>
        <w:t>4.4.7</w:t>
      </w:r>
      <w:r>
        <w:rPr>
          <w:rFonts w:ascii="Calibri" w:hAnsi="Calibri" w:cs="Calibri"/>
          <w:spacing w:val="-4"/>
        </w:rPr>
        <w:tab/>
        <w:t>O</w:t>
      </w:r>
      <w:r w:rsidRPr="000A2C0C">
        <w:rPr>
          <w:rFonts w:ascii="Calibri" w:hAnsi="Calibri" w:cs="Calibri"/>
          <w:spacing w:val="-4"/>
        </w:rPr>
        <w:t>ne member of the Inns' Conduct Committee.</w:t>
      </w:r>
    </w:p>
    <w:p w:rsidR="00233F2C" w:rsidRPr="000A2C0C" w:rsidRDefault="00233F2C" w:rsidP="00233F2C">
      <w:pPr>
        <w:tabs>
          <w:tab w:val="left" w:pos="1368"/>
        </w:tabs>
        <w:kinsoku w:val="0"/>
        <w:overflowPunct w:val="0"/>
        <w:spacing w:before="543" w:line="217" w:lineRule="exact"/>
        <w:ind w:left="1365" w:hanging="645"/>
        <w:jc w:val="both"/>
        <w:textAlignment w:val="baseline"/>
        <w:rPr>
          <w:rFonts w:ascii="Calibri" w:hAnsi="Calibri" w:cs="Calibri"/>
          <w:spacing w:val="1"/>
        </w:rPr>
      </w:pPr>
      <w:r w:rsidRPr="000A2C0C">
        <w:rPr>
          <w:rFonts w:ascii="Calibri" w:hAnsi="Calibri" w:cs="Calibri"/>
          <w:spacing w:val="1"/>
        </w:rPr>
        <w:t>4.5</w:t>
      </w:r>
      <w:r w:rsidRPr="000A2C0C">
        <w:rPr>
          <w:rFonts w:ascii="Calibri" w:hAnsi="Calibri" w:cs="Calibri"/>
          <w:spacing w:val="1"/>
        </w:rPr>
        <w:tab/>
        <w:t>The Chair of the Strategic Advisory Board shall be responsible for the appointment of members of the Strategic Advisory Board, where applicable.</w:t>
      </w:r>
    </w:p>
    <w:p w:rsidR="00233F2C" w:rsidRPr="000A2C0C" w:rsidRDefault="00233F2C" w:rsidP="00233F2C">
      <w:pPr>
        <w:tabs>
          <w:tab w:val="left" w:pos="1368"/>
        </w:tabs>
        <w:kinsoku w:val="0"/>
        <w:overflowPunct w:val="0"/>
        <w:spacing w:before="543" w:line="217" w:lineRule="exact"/>
        <w:ind w:left="1365" w:hanging="645"/>
        <w:jc w:val="both"/>
        <w:textAlignment w:val="baseline"/>
        <w:rPr>
          <w:rFonts w:ascii="Calibri" w:hAnsi="Calibri" w:cs="Calibri"/>
        </w:rPr>
      </w:pPr>
      <w:r w:rsidRPr="000A2C0C">
        <w:rPr>
          <w:rFonts w:ascii="Calibri" w:hAnsi="Calibri" w:cs="Calibri"/>
          <w:spacing w:val="1"/>
        </w:rPr>
        <w:t>4.6</w:t>
      </w:r>
      <w:r w:rsidRPr="000A2C0C">
        <w:rPr>
          <w:rFonts w:ascii="Calibri" w:hAnsi="Calibri" w:cs="Calibri"/>
          <w:spacing w:val="1"/>
        </w:rPr>
        <w:tab/>
        <w:t>The COIC Director, the BTAS Registrar and the Bar Standards Board's Contract</w:t>
      </w:r>
      <w:r>
        <w:rPr>
          <w:rFonts w:ascii="Calibri" w:hAnsi="Calibri" w:cs="Calibri"/>
          <w:spacing w:val="1"/>
        </w:rPr>
        <w:t xml:space="preserve"> </w:t>
      </w:r>
      <w:r w:rsidRPr="000A2C0C">
        <w:rPr>
          <w:rFonts w:ascii="Calibri" w:hAnsi="Calibri" w:cs="Calibri"/>
        </w:rPr>
        <w:t>Manager shall be entitled to attend meetings but will not be members of the Strategic Advisory Board.</w:t>
      </w:r>
    </w:p>
    <w:p w:rsidR="00233F2C" w:rsidRDefault="00233F2C" w:rsidP="00233F2C">
      <w:pPr>
        <w:tabs>
          <w:tab w:val="left" w:pos="1368"/>
        </w:tabs>
        <w:kinsoku w:val="0"/>
        <w:overflowPunct w:val="0"/>
        <w:spacing w:before="282" w:line="217" w:lineRule="exact"/>
        <w:ind w:left="720"/>
        <w:jc w:val="both"/>
        <w:textAlignment w:val="baseline"/>
        <w:rPr>
          <w:rFonts w:ascii="Calibri" w:hAnsi="Calibri" w:cs="Calibri"/>
          <w:spacing w:val="-5"/>
        </w:rPr>
      </w:pPr>
      <w:r w:rsidRPr="000A2C0C">
        <w:rPr>
          <w:rFonts w:ascii="Calibri" w:hAnsi="Calibri" w:cs="Calibri"/>
          <w:spacing w:val="-4"/>
        </w:rPr>
        <w:t>4.7</w:t>
      </w:r>
      <w:r w:rsidRPr="000A2C0C">
        <w:rPr>
          <w:rFonts w:ascii="Calibri" w:hAnsi="Calibri" w:cs="Calibri"/>
          <w:spacing w:val="-4"/>
        </w:rPr>
        <w:tab/>
        <w:t>Other individuals may be invited to attend meetings of the Strategic Advisory Board</w:t>
      </w:r>
      <w:r>
        <w:rPr>
          <w:rFonts w:ascii="Calibri" w:hAnsi="Calibri" w:cs="Calibri"/>
          <w:spacing w:val="-4"/>
        </w:rPr>
        <w:t xml:space="preserve"> </w:t>
      </w:r>
      <w:r w:rsidRPr="000A2C0C">
        <w:rPr>
          <w:rFonts w:ascii="Calibri" w:hAnsi="Calibri" w:cs="Calibri"/>
          <w:spacing w:val="-5"/>
        </w:rPr>
        <w:t xml:space="preserve">to </w:t>
      </w:r>
      <w:r>
        <w:rPr>
          <w:rFonts w:ascii="Calibri" w:hAnsi="Calibri" w:cs="Calibri"/>
          <w:spacing w:val="-5"/>
        </w:rPr>
        <w:tab/>
      </w:r>
      <w:r w:rsidRPr="000A2C0C">
        <w:rPr>
          <w:rFonts w:ascii="Calibri" w:hAnsi="Calibri" w:cs="Calibri"/>
          <w:spacing w:val="-5"/>
        </w:rPr>
        <w:t>advise on specific issues.</w:t>
      </w:r>
    </w:p>
    <w:p w:rsidR="00233F2C" w:rsidRPr="000A2C0C" w:rsidRDefault="00233F2C" w:rsidP="00233F2C">
      <w:pPr>
        <w:kinsoku w:val="0"/>
        <w:overflowPunct w:val="0"/>
        <w:spacing w:before="38" w:line="216" w:lineRule="exact"/>
        <w:jc w:val="both"/>
        <w:textAlignment w:val="baseline"/>
        <w:rPr>
          <w:rFonts w:ascii="Calibri" w:hAnsi="Calibri" w:cs="Calibri"/>
          <w:spacing w:val="-4"/>
        </w:rPr>
      </w:pPr>
      <w:r>
        <w:rPr>
          <w:rFonts w:ascii="Calibri" w:hAnsi="Calibri" w:cs="Calibri"/>
          <w:spacing w:val="-5"/>
        </w:rPr>
        <w:tab/>
        <w:t>4.8</w:t>
      </w:r>
      <w:r>
        <w:rPr>
          <w:rFonts w:ascii="Calibri" w:hAnsi="Calibri" w:cs="Calibri"/>
          <w:spacing w:val="-5"/>
        </w:rPr>
        <w:tab/>
      </w:r>
      <w:r w:rsidRPr="000A2C0C">
        <w:rPr>
          <w:rFonts w:ascii="Calibri" w:hAnsi="Calibri" w:cs="Calibri"/>
          <w:spacing w:val="-3"/>
        </w:rPr>
        <w:t xml:space="preserve">The terms of reference, as </w:t>
      </w:r>
      <w:r>
        <w:rPr>
          <w:rFonts w:ascii="Calibri" w:hAnsi="Calibri" w:cs="Calibri"/>
          <w:spacing w:val="-3"/>
        </w:rPr>
        <w:t xml:space="preserve">set by members of the Strategic Advisory Board shall be </w:t>
      </w:r>
      <w:r>
        <w:rPr>
          <w:rFonts w:ascii="Calibri" w:hAnsi="Calibri" w:cs="Calibri"/>
          <w:spacing w:val="-3"/>
        </w:rPr>
        <w:tab/>
      </w:r>
      <w:r>
        <w:rPr>
          <w:rFonts w:ascii="Calibri" w:hAnsi="Calibri" w:cs="Calibri"/>
          <w:spacing w:val="-3"/>
        </w:rPr>
        <w:tab/>
      </w:r>
      <w:r>
        <w:rPr>
          <w:rFonts w:ascii="Calibri" w:hAnsi="Calibri" w:cs="Calibri"/>
          <w:spacing w:val="-3"/>
        </w:rPr>
        <w:tab/>
      </w:r>
      <w:r w:rsidRPr="000A2C0C">
        <w:rPr>
          <w:rFonts w:ascii="Calibri" w:hAnsi="Calibri" w:cs="Calibri"/>
          <w:spacing w:val="-4"/>
        </w:rPr>
        <w:t xml:space="preserve">reviewed annually by the COIC Board of Trustees. The membership may be subject to </w:t>
      </w:r>
      <w:r>
        <w:rPr>
          <w:rFonts w:ascii="Calibri" w:hAnsi="Calibri" w:cs="Calibri"/>
          <w:spacing w:val="-4"/>
        </w:rPr>
        <w:tab/>
      </w:r>
      <w:r>
        <w:rPr>
          <w:rFonts w:ascii="Calibri" w:hAnsi="Calibri" w:cs="Calibri"/>
          <w:spacing w:val="-4"/>
        </w:rPr>
        <w:tab/>
      </w:r>
      <w:r w:rsidRPr="000A2C0C">
        <w:rPr>
          <w:rFonts w:ascii="Calibri" w:hAnsi="Calibri" w:cs="Calibri"/>
          <w:spacing w:val="-4"/>
        </w:rPr>
        <w:t xml:space="preserve">change depending upon the findings of the annual review and/or future changes or new </w:t>
      </w:r>
      <w:r>
        <w:rPr>
          <w:rFonts w:ascii="Calibri" w:hAnsi="Calibri" w:cs="Calibri"/>
          <w:spacing w:val="-4"/>
        </w:rPr>
        <w:tab/>
      </w:r>
      <w:r>
        <w:rPr>
          <w:rFonts w:ascii="Calibri" w:hAnsi="Calibri" w:cs="Calibri"/>
          <w:spacing w:val="-4"/>
        </w:rPr>
        <w:tab/>
      </w:r>
      <w:r w:rsidRPr="000A2C0C">
        <w:rPr>
          <w:rFonts w:ascii="Calibri" w:hAnsi="Calibri" w:cs="Calibri"/>
          <w:spacing w:val="-4"/>
        </w:rPr>
        <w:t>activities which the BTAS is required to undertake.</w:t>
      </w:r>
    </w:p>
    <w:p w:rsidR="00233F2C" w:rsidRPr="000A2C0C" w:rsidRDefault="00233F2C" w:rsidP="00233F2C">
      <w:pPr>
        <w:tabs>
          <w:tab w:val="left" w:pos="720"/>
        </w:tabs>
        <w:kinsoku w:val="0"/>
        <w:overflowPunct w:val="0"/>
        <w:spacing w:before="288" w:line="216" w:lineRule="exact"/>
        <w:ind w:left="72"/>
        <w:jc w:val="both"/>
        <w:textAlignment w:val="baseline"/>
        <w:rPr>
          <w:rFonts w:ascii="Calibri" w:hAnsi="Calibri" w:cs="Calibri"/>
          <w:b/>
          <w:bCs/>
          <w:spacing w:val="-3"/>
        </w:rPr>
      </w:pPr>
      <w:r w:rsidRPr="000A2C0C">
        <w:rPr>
          <w:rFonts w:ascii="Calibri" w:hAnsi="Calibri" w:cs="Calibri"/>
          <w:b/>
          <w:bCs/>
          <w:spacing w:val="-3"/>
        </w:rPr>
        <w:t>5</w:t>
      </w:r>
      <w:r w:rsidRPr="000A2C0C">
        <w:rPr>
          <w:rFonts w:ascii="Calibri" w:hAnsi="Calibri" w:cs="Calibri"/>
          <w:b/>
          <w:bCs/>
          <w:spacing w:val="-3"/>
        </w:rPr>
        <w:tab/>
        <w:t>Meetings</w:t>
      </w:r>
    </w:p>
    <w:p w:rsidR="00233F2C" w:rsidRDefault="00233F2C" w:rsidP="00233F2C">
      <w:pPr>
        <w:tabs>
          <w:tab w:val="left" w:pos="1368"/>
        </w:tabs>
        <w:kinsoku w:val="0"/>
        <w:overflowPunct w:val="0"/>
        <w:spacing w:before="287" w:line="217" w:lineRule="exact"/>
        <w:ind w:left="720"/>
        <w:jc w:val="both"/>
        <w:textAlignment w:val="baseline"/>
        <w:rPr>
          <w:rFonts w:ascii="Calibri" w:hAnsi="Calibri" w:cs="Calibri"/>
          <w:spacing w:val="-5"/>
        </w:rPr>
      </w:pPr>
      <w:r w:rsidRPr="000A2C0C">
        <w:rPr>
          <w:rFonts w:ascii="Calibri" w:hAnsi="Calibri" w:cs="Calibri"/>
          <w:spacing w:val="-1"/>
        </w:rPr>
        <w:t>5.1</w:t>
      </w:r>
      <w:r w:rsidRPr="000A2C0C">
        <w:rPr>
          <w:rFonts w:ascii="Calibri" w:hAnsi="Calibri" w:cs="Calibri"/>
          <w:spacing w:val="-1"/>
        </w:rPr>
        <w:tab/>
        <w:t>The Strategic Advisory Board shall meet, at a minimum, quarterly in its</w:t>
      </w:r>
      <w:r>
        <w:rPr>
          <w:rFonts w:ascii="Calibri" w:hAnsi="Calibri" w:cs="Calibri"/>
          <w:spacing w:val="-1"/>
        </w:rPr>
        <w:t xml:space="preserve"> first year a</w:t>
      </w:r>
      <w:r w:rsidRPr="000A2C0C">
        <w:rPr>
          <w:rFonts w:ascii="Calibri" w:hAnsi="Calibri" w:cs="Calibri"/>
          <w:spacing w:val="-5"/>
        </w:rPr>
        <w:t xml:space="preserve">nd </w:t>
      </w:r>
      <w:r>
        <w:rPr>
          <w:rFonts w:ascii="Calibri" w:hAnsi="Calibri" w:cs="Calibri"/>
          <w:spacing w:val="-5"/>
        </w:rPr>
        <w:tab/>
      </w:r>
      <w:r w:rsidRPr="000A2C0C">
        <w:rPr>
          <w:rFonts w:ascii="Calibri" w:hAnsi="Calibri" w:cs="Calibri"/>
          <w:spacing w:val="-5"/>
        </w:rPr>
        <w:t>will report annually to COIC Board of Trustees.</w:t>
      </w:r>
    </w:p>
    <w:p w:rsidR="00233F2C" w:rsidRPr="000A2C0C" w:rsidRDefault="00233F2C" w:rsidP="00233F2C">
      <w:pPr>
        <w:tabs>
          <w:tab w:val="left" w:pos="1368"/>
        </w:tabs>
        <w:kinsoku w:val="0"/>
        <w:overflowPunct w:val="0"/>
        <w:spacing w:before="287" w:line="217" w:lineRule="exact"/>
        <w:ind w:left="1365" w:hanging="645"/>
        <w:jc w:val="both"/>
        <w:textAlignment w:val="baseline"/>
        <w:rPr>
          <w:rFonts w:ascii="Calibri" w:hAnsi="Calibri" w:cs="Calibri"/>
          <w:spacing w:val="-4"/>
        </w:rPr>
      </w:pPr>
      <w:r>
        <w:rPr>
          <w:rFonts w:ascii="Calibri" w:hAnsi="Calibri" w:cs="Calibri"/>
          <w:spacing w:val="-5"/>
        </w:rPr>
        <w:t>5.2</w:t>
      </w:r>
      <w:r>
        <w:rPr>
          <w:rFonts w:ascii="Calibri" w:hAnsi="Calibri" w:cs="Calibri"/>
          <w:spacing w:val="-5"/>
        </w:rPr>
        <w:tab/>
        <w:t>M</w:t>
      </w:r>
      <w:r w:rsidRPr="000A2C0C">
        <w:rPr>
          <w:rFonts w:ascii="Calibri" w:hAnsi="Calibri" w:cs="Calibri"/>
          <w:spacing w:val="-1"/>
        </w:rPr>
        <w:t>eetings of the Strategic Advisory Board will be held in private. Meetings will be</w:t>
      </w:r>
      <w:r>
        <w:rPr>
          <w:rFonts w:ascii="Calibri" w:hAnsi="Calibri" w:cs="Calibri"/>
          <w:spacing w:val="-1"/>
        </w:rPr>
        <w:t xml:space="preserve"> </w:t>
      </w:r>
      <w:r w:rsidRPr="000A2C0C">
        <w:rPr>
          <w:rFonts w:ascii="Calibri" w:hAnsi="Calibri" w:cs="Calibri"/>
          <w:spacing w:val="-4"/>
        </w:rPr>
        <w:t>minuted and published on the BTAS website, save that where all or part of a meeting includes discussions of matters that it is not appropriate to put in the public domain; any reference to such matters in the minutes will not be published.</w:t>
      </w:r>
    </w:p>
    <w:p w:rsidR="00233F2C" w:rsidRPr="000A2C0C" w:rsidRDefault="00233F2C" w:rsidP="00233F2C">
      <w:pPr>
        <w:tabs>
          <w:tab w:val="left" w:pos="720"/>
        </w:tabs>
        <w:kinsoku w:val="0"/>
        <w:overflowPunct w:val="0"/>
        <w:spacing w:before="284" w:line="216" w:lineRule="exact"/>
        <w:ind w:left="72"/>
        <w:jc w:val="both"/>
        <w:textAlignment w:val="baseline"/>
        <w:rPr>
          <w:rFonts w:ascii="Calibri" w:hAnsi="Calibri" w:cs="Calibri"/>
          <w:b/>
          <w:bCs/>
          <w:spacing w:val="-1"/>
        </w:rPr>
      </w:pPr>
      <w:r w:rsidRPr="000A2C0C">
        <w:rPr>
          <w:rFonts w:ascii="Calibri" w:hAnsi="Calibri" w:cs="Calibri"/>
          <w:b/>
          <w:bCs/>
          <w:spacing w:val="-1"/>
        </w:rPr>
        <w:t>6</w:t>
      </w:r>
      <w:r w:rsidRPr="000A2C0C">
        <w:rPr>
          <w:rFonts w:ascii="Calibri" w:hAnsi="Calibri" w:cs="Calibri"/>
          <w:b/>
          <w:bCs/>
          <w:spacing w:val="-1"/>
        </w:rPr>
        <w:tab/>
        <w:t>Term of office</w:t>
      </w:r>
    </w:p>
    <w:p w:rsidR="00233F2C" w:rsidRPr="000A2C0C" w:rsidRDefault="00233F2C" w:rsidP="00233F2C">
      <w:pPr>
        <w:tabs>
          <w:tab w:val="left" w:pos="1368"/>
        </w:tabs>
        <w:kinsoku w:val="0"/>
        <w:overflowPunct w:val="0"/>
        <w:spacing w:before="291" w:line="215" w:lineRule="exact"/>
        <w:ind w:left="1365" w:hanging="645"/>
        <w:jc w:val="both"/>
        <w:textAlignment w:val="baseline"/>
        <w:rPr>
          <w:rFonts w:ascii="Calibri" w:hAnsi="Calibri" w:cs="Calibri"/>
          <w:spacing w:val="-4"/>
        </w:rPr>
      </w:pPr>
      <w:r w:rsidRPr="000A2C0C">
        <w:rPr>
          <w:rFonts w:ascii="Calibri" w:hAnsi="Calibri" w:cs="Calibri"/>
          <w:spacing w:val="-4"/>
        </w:rPr>
        <w:t>6.1</w:t>
      </w:r>
      <w:r w:rsidRPr="000A2C0C">
        <w:rPr>
          <w:rFonts w:ascii="Calibri" w:hAnsi="Calibri" w:cs="Calibri"/>
          <w:spacing w:val="-4"/>
        </w:rPr>
        <w:tab/>
        <w:t>The Chair of the Strategic Advisory Board may be appoi</w:t>
      </w:r>
      <w:r>
        <w:rPr>
          <w:rFonts w:ascii="Calibri" w:hAnsi="Calibri" w:cs="Calibri"/>
          <w:spacing w:val="-4"/>
        </w:rPr>
        <w:t xml:space="preserve">nted for a period of three (3) </w:t>
      </w:r>
      <w:r w:rsidRPr="000A2C0C">
        <w:rPr>
          <w:rFonts w:ascii="Calibri" w:hAnsi="Calibri" w:cs="Calibri"/>
        </w:rPr>
        <w:t>years, which may be extended by the President of COIC in consultation with the Board for a further period of three (3) years. The Chair of the Strategic Advisory Board may hold office for a maximum period of six (6) years.</w:t>
      </w:r>
    </w:p>
    <w:p w:rsidR="00233F2C" w:rsidRPr="000A2C0C" w:rsidRDefault="00233F2C" w:rsidP="00233F2C">
      <w:pPr>
        <w:tabs>
          <w:tab w:val="left" w:pos="1368"/>
        </w:tabs>
        <w:kinsoku w:val="0"/>
        <w:overflowPunct w:val="0"/>
        <w:spacing w:before="288" w:line="216" w:lineRule="exact"/>
        <w:ind w:left="1365" w:hanging="645"/>
        <w:jc w:val="both"/>
        <w:textAlignment w:val="baseline"/>
        <w:rPr>
          <w:rFonts w:ascii="Calibri" w:hAnsi="Calibri" w:cs="Calibri"/>
          <w:spacing w:val="-4"/>
        </w:rPr>
      </w:pPr>
      <w:r w:rsidRPr="000A2C0C">
        <w:rPr>
          <w:rFonts w:ascii="Calibri" w:hAnsi="Calibri" w:cs="Calibri"/>
          <w:spacing w:val="-4"/>
        </w:rPr>
        <w:t>6.2</w:t>
      </w:r>
      <w:r w:rsidRPr="000A2C0C">
        <w:rPr>
          <w:rFonts w:ascii="Calibri" w:hAnsi="Calibri" w:cs="Calibri"/>
          <w:spacing w:val="-4"/>
        </w:rPr>
        <w:tab/>
        <w:t>All other members of the Strategic Advisory Board will hold office for no longer than</w:t>
      </w:r>
      <w:r>
        <w:rPr>
          <w:rFonts w:ascii="Calibri" w:hAnsi="Calibri" w:cs="Calibri"/>
          <w:spacing w:val="-4"/>
        </w:rPr>
        <w:t xml:space="preserve"> </w:t>
      </w:r>
      <w:r w:rsidRPr="000A2C0C">
        <w:rPr>
          <w:rFonts w:ascii="Calibri" w:hAnsi="Calibri" w:cs="Calibri"/>
          <w:spacing w:val="-5"/>
        </w:rPr>
        <w:t>the duration of the concurrent term associated with their defined position.</w:t>
      </w:r>
    </w:p>
    <w:p w:rsidR="00FE4631" w:rsidRPr="00FE4631" w:rsidRDefault="00FE4631" w:rsidP="00233F2C">
      <w:pPr>
        <w:ind w:left="1440"/>
        <w:rPr>
          <w:rFonts w:ascii="Arial" w:hAnsi="Arial" w:cs="Arial"/>
          <w:b/>
          <w:u w:val="single"/>
        </w:rPr>
      </w:pPr>
    </w:p>
    <w:sectPr w:rsidR="00FE4631" w:rsidRPr="00FE463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48" w:rsidRDefault="00DF0448" w:rsidP="00DF0448">
      <w:pPr>
        <w:spacing w:after="0" w:line="240" w:lineRule="auto"/>
      </w:pPr>
      <w:r>
        <w:separator/>
      </w:r>
    </w:p>
  </w:endnote>
  <w:endnote w:type="continuationSeparator" w:id="0">
    <w:p w:rsidR="00DF0448" w:rsidRDefault="00DF0448" w:rsidP="00DF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CF" w:rsidRDefault="00B907C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First SAB Meeting Minutes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07FEF" w:rsidRPr="00307FEF">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B907CF" w:rsidRDefault="00B90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48" w:rsidRDefault="00DF0448" w:rsidP="00DF0448">
      <w:pPr>
        <w:spacing w:after="0" w:line="240" w:lineRule="auto"/>
      </w:pPr>
      <w:r>
        <w:separator/>
      </w:r>
    </w:p>
  </w:footnote>
  <w:footnote w:type="continuationSeparator" w:id="0">
    <w:p w:rsidR="00DF0448" w:rsidRDefault="00DF0448" w:rsidP="00DF0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F68" w:rsidRDefault="006E0F68" w:rsidP="006E0F6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3CE"/>
    <w:multiLevelType w:val="hybridMultilevel"/>
    <w:tmpl w:val="E9B43092"/>
    <w:lvl w:ilvl="0" w:tplc="AB100F38">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B47AD"/>
    <w:multiLevelType w:val="hybridMultilevel"/>
    <w:tmpl w:val="13D645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D01249"/>
    <w:multiLevelType w:val="hybridMultilevel"/>
    <w:tmpl w:val="49D00DC8"/>
    <w:lvl w:ilvl="0" w:tplc="148CB214">
      <w:start w:val="1"/>
      <w:numFmt w:val="upperRoman"/>
      <w:lvlText w:val="%1."/>
      <w:lvlJc w:val="righ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B26909"/>
    <w:multiLevelType w:val="hybridMultilevel"/>
    <w:tmpl w:val="BC800A04"/>
    <w:lvl w:ilvl="0" w:tplc="B1FED82C">
      <w:start w:val="1"/>
      <w:numFmt w:val="upperRoman"/>
      <w:lvlText w:val="%1."/>
      <w:lvlJc w:val="right"/>
      <w:pPr>
        <w:ind w:left="502"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26AB29A1"/>
    <w:multiLevelType w:val="hybridMultilevel"/>
    <w:tmpl w:val="C6BA6CE4"/>
    <w:lvl w:ilvl="0" w:tplc="DDF0D200">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B92BC9"/>
    <w:multiLevelType w:val="hybridMultilevel"/>
    <w:tmpl w:val="02D4FC3C"/>
    <w:lvl w:ilvl="0" w:tplc="08090013">
      <w:start w:val="1"/>
      <w:numFmt w:val="upperRoman"/>
      <w:lvlText w:val="%1."/>
      <w:lvlJc w:val="right"/>
      <w:pPr>
        <w:ind w:left="780" w:hanging="360"/>
      </w:pPr>
      <w:rPr>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36D96370"/>
    <w:multiLevelType w:val="hybridMultilevel"/>
    <w:tmpl w:val="394A5C46"/>
    <w:lvl w:ilvl="0" w:tplc="08090013">
      <w:start w:val="1"/>
      <w:numFmt w:val="upperRoman"/>
      <w:lvlText w:val="%1."/>
      <w:lvlJc w:val="right"/>
      <w:pPr>
        <w:ind w:left="780" w:hanging="360"/>
      </w:pPr>
      <w:rPr>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3865351C"/>
    <w:multiLevelType w:val="hybridMultilevel"/>
    <w:tmpl w:val="5CC69E74"/>
    <w:lvl w:ilvl="0" w:tplc="08090013">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5D04B7"/>
    <w:multiLevelType w:val="hybridMultilevel"/>
    <w:tmpl w:val="6B60AD2A"/>
    <w:lvl w:ilvl="0" w:tplc="D8DC1492">
      <w:start w:val="1"/>
      <w:numFmt w:val="upperRoman"/>
      <w:lvlText w:val="%1."/>
      <w:lvlJc w:val="righ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E9440C"/>
    <w:multiLevelType w:val="hybridMultilevel"/>
    <w:tmpl w:val="8FB81E1C"/>
    <w:lvl w:ilvl="0" w:tplc="08090013">
      <w:start w:val="1"/>
      <w:numFmt w:val="upperRoman"/>
      <w:lvlText w:val="%1."/>
      <w:lvlJc w:val="righ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4C7DB4"/>
    <w:multiLevelType w:val="hybridMultilevel"/>
    <w:tmpl w:val="BBF4F31C"/>
    <w:lvl w:ilvl="0" w:tplc="1AE87F70">
      <w:start w:val="1"/>
      <w:numFmt w:val="upperRoman"/>
      <w:lvlText w:val="%1."/>
      <w:lvlJc w:val="left"/>
      <w:pPr>
        <w:ind w:left="735" w:hanging="72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11">
    <w:nsid w:val="3F711BEF"/>
    <w:multiLevelType w:val="hybridMultilevel"/>
    <w:tmpl w:val="7B9C996C"/>
    <w:lvl w:ilvl="0" w:tplc="08090013">
      <w:start w:val="1"/>
      <w:numFmt w:val="upperRoman"/>
      <w:lvlText w:val="%1."/>
      <w:lvlJc w:val="right"/>
      <w:pPr>
        <w:ind w:left="927" w:hanging="360"/>
      </w:pPr>
      <w:rPr>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2">
    <w:nsid w:val="414378FE"/>
    <w:multiLevelType w:val="hybridMultilevel"/>
    <w:tmpl w:val="FE1638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7FC60FC"/>
    <w:multiLevelType w:val="hybridMultilevel"/>
    <w:tmpl w:val="0DF011D2"/>
    <w:lvl w:ilvl="0" w:tplc="2256C1AA">
      <w:start w:val="1"/>
      <w:numFmt w:val="upperRoman"/>
      <w:lvlText w:val="%1."/>
      <w:lvlJc w:val="righ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4C3A7FE2"/>
    <w:multiLevelType w:val="hybridMultilevel"/>
    <w:tmpl w:val="06DEC26A"/>
    <w:lvl w:ilvl="0" w:tplc="D34A41B6">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3462E3"/>
    <w:multiLevelType w:val="hybridMultilevel"/>
    <w:tmpl w:val="E486710C"/>
    <w:lvl w:ilvl="0" w:tplc="08090013">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CC3700"/>
    <w:multiLevelType w:val="hybridMultilevel"/>
    <w:tmpl w:val="2AB0FB1A"/>
    <w:lvl w:ilvl="0" w:tplc="A118A3F4">
      <w:start w:val="1"/>
      <w:numFmt w:val="upperRoman"/>
      <w:lvlText w:val="%1."/>
      <w:lvlJc w:val="right"/>
      <w:pPr>
        <w:ind w:left="644" w:hanging="360"/>
      </w:pPr>
      <w:rPr>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ED86E0C"/>
    <w:multiLevelType w:val="hybridMultilevel"/>
    <w:tmpl w:val="3814CCF4"/>
    <w:lvl w:ilvl="0" w:tplc="312A98FC">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6"/>
  </w:num>
  <w:num w:numId="3">
    <w:abstractNumId w:val="5"/>
  </w:num>
  <w:num w:numId="4">
    <w:abstractNumId w:val="8"/>
  </w:num>
  <w:num w:numId="5">
    <w:abstractNumId w:val="9"/>
  </w:num>
  <w:num w:numId="6">
    <w:abstractNumId w:val="7"/>
  </w:num>
  <w:num w:numId="7">
    <w:abstractNumId w:val="6"/>
  </w:num>
  <w:num w:numId="8">
    <w:abstractNumId w:val="15"/>
  </w:num>
  <w:num w:numId="9">
    <w:abstractNumId w:val="10"/>
  </w:num>
  <w:num w:numId="10">
    <w:abstractNumId w:val="2"/>
  </w:num>
  <w:num w:numId="11">
    <w:abstractNumId w:val="1"/>
  </w:num>
  <w:num w:numId="12">
    <w:abstractNumId w:val="0"/>
  </w:num>
  <w:num w:numId="13">
    <w:abstractNumId w:val="3"/>
  </w:num>
  <w:num w:numId="14">
    <w:abstractNumId w:val="13"/>
  </w:num>
  <w:num w:numId="15">
    <w:abstractNumId w:val="14"/>
  </w:num>
  <w:num w:numId="16">
    <w:abstractNumId w:val="1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CF"/>
    <w:rsid w:val="000029CE"/>
    <w:rsid w:val="00032E9F"/>
    <w:rsid w:val="00035CA5"/>
    <w:rsid w:val="000536BD"/>
    <w:rsid w:val="0007547A"/>
    <w:rsid w:val="000F1DE3"/>
    <w:rsid w:val="001375DD"/>
    <w:rsid w:val="00194030"/>
    <w:rsid w:val="0019507B"/>
    <w:rsid w:val="001B566F"/>
    <w:rsid w:val="001C0123"/>
    <w:rsid w:val="00233F2C"/>
    <w:rsid w:val="002807A2"/>
    <w:rsid w:val="002B4908"/>
    <w:rsid w:val="002C4912"/>
    <w:rsid w:val="002F25CF"/>
    <w:rsid w:val="00307FEF"/>
    <w:rsid w:val="003B131F"/>
    <w:rsid w:val="0054129D"/>
    <w:rsid w:val="005C6257"/>
    <w:rsid w:val="005C634B"/>
    <w:rsid w:val="00625CA8"/>
    <w:rsid w:val="00627639"/>
    <w:rsid w:val="00653757"/>
    <w:rsid w:val="006871CB"/>
    <w:rsid w:val="006E0F68"/>
    <w:rsid w:val="006F073A"/>
    <w:rsid w:val="00720633"/>
    <w:rsid w:val="00722FAE"/>
    <w:rsid w:val="007301AF"/>
    <w:rsid w:val="0075648D"/>
    <w:rsid w:val="007667AC"/>
    <w:rsid w:val="00817143"/>
    <w:rsid w:val="008979B0"/>
    <w:rsid w:val="008D34CC"/>
    <w:rsid w:val="00960088"/>
    <w:rsid w:val="009732BA"/>
    <w:rsid w:val="00A04BCA"/>
    <w:rsid w:val="00A17B50"/>
    <w:rsid w:val="00A30E2A"/>
    <w:rsid w:val="00A60459"/>
    <w:rsid w:val="00A6161D"/>
    <w:rsid w:val="00AC7932"/>
    <w:rsid w:val="00AD6E17"/>
    <w:rsid w:val="00B05174"/>
    <w:rsid w:val="00B3662C"/>
    <w:rsid w:val="00B83A80"/>
    <w:rsid w:val="00B907CF"/>
    <w:rsid w:val="00BC2F26"/>
    <w:rsid w:val="00C124FB"/>
    <w:rsid w:val="00D83369"/>
    <w:rsid w:val="00DF0448"/>
    <w:rsid w:val="00F25858"/>
    <w:rsid w:val="00F441B6"/>
    <w:rsid w:val="00FE4631"/>
    <w:rsid w:val="00FF10A1"/>
    <w:rsid w:val="00FF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5CF"/>
    <w:pPr>
      <w:spacing w:after="0" w:line="240" w:lineRule="auto"/>
    </w:pPr>
  </w:style>
  <w:style w:type="table" w:styleId="TableGrid">
    <w:name w:val="Table Grid"/>
    <w:basedOn w:val="TableNormal"/>
    <w:uiPriority w:val="59"/>
    <w:rsid w:val="002F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5CF"/>
    <w:rPr>
      <w:rFonts w:ascii="Tahoma" w:hAnsi="Tahoma" w:cs="Tahoma"/>
      <w:sz w:val="16"/>
      <w:szCs w:val="16"/>
    </w:rPr>
  </w:style>
  <w:style w:type="paragraph" w:styleId="ListParagraph">
    <w:name w:val="List Paragraph"/>
    <w:basedOn w:val="Normal"/>
    <w:uiPriority w:val="34"/>
    <w:qFormat/>
    <w:rsid w:val="000F1DE3"/>
    <w:pPr>
      <w:ind w:left="720"/>
      <w:contextualSpacing/>
    </w:pPr>
  </w:style>
  <w:style w:type="paragraph" w:styleId="Header">
    <w:name w:val="header"/>
    <w:basedOn w:val="Normal"/>
    <w:link w:val="HeaderChar"/>
    <w:uiPriority w:val="99"/>
    <w:unhideWhenUsed/>
    <w:rsid w:val="00DF0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448"/>
  </w:style>
  <w:style w:type="paragraph" w:styleId="Footer">
    <w:name w:val="footer"/>
    <w:basedOn w:val="Normal"/>
    <w:link w:val="FooterChar"/>
    <w:uiPriority w:val="99"/>
    <w:unhideWhenUsed/>
    <w:rsid w:val="00DF0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4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5CF"/>
    <w:pPr>
      <w:spacing w:after="0" w:line="240" w:lineRule="auto"/>
    </w:pPr>
  </w:style>
  <w:style w:type="table" w:styleId="TableGrid">
    <w:name w:val="Table Grid"/>
    <w:basedOn w:val="TableNormal"/>
    <w:uiPriority w:val="59"/>
    <w:rsid w:val="002F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5CF"/>
    <w:rPr>
      <w:rFonts w:ascii="Tahoma" w:hAnsi="Tahoma" w:cs="Tahoma"/>
      <w:sz w:val="16"/>
      <w:szCs w:val="16"/>
    </w:rPr>
  </w:style>
  <w:style w:type="paragraph" w:styleId="ListParagraph">
    <w:name w:val="List Paragraph"/>
    <w:basedOn w:val="Normal"/>
    <w:uiPriority w:val="34"/>
    <w:qFormat/>
    <w:rsid w:val="000F1DE3"/>
    <w:pPr>
      <w:ind w:left="720"/>
      <w:contextualSpacing/>
    </w:pPr>
  </w:style>
  <w:style w:type="paragraph" w:styleId="Header">
    <w:name w:val="header"/>
    <w:basedOn w:val="Normal"/>
    <w:link w:val="HeaderChar"/>
    <w:uiPriority w:val="99"/>
    <w:unhideWhenUsed/>
    <w:rsid w:val="00DF0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448"/>
  </w:style>
  <w:style w:type="paragraph" w:styleId="Footer">
    <w:name w:val="footer"/>
    <w:basedOn w:val="Normal"/>
    <w:link w:val="FooterChar"/>
    <w:uiPriority w:val="99"/>
    <w:unhideWhenUsed/>
    <w:rsid w:val="00DF0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Chhabra</dc:creator>
  <cp:lastModifiedBy>Andy Russell</cp:lastModifiedBy>
  <cp:revision>2</cp:revision>
  <cp:lastPrinted>2014-04-29T14:01:00Z</cp:lastPrinted>
  <dcterms:created xsi:type="dcterms:W3CDTF">2014-07-17T12:52:00Z</dcterms:created>
  <dcterms:modified xsi:type="dcterms:W3CDTF">2014-07-17T12:52:00Z</dcterms:modified>
</cp:coreProperties>
</file>