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D9" w:rsidRDefault="005E2A67" w:rsidP="005E2A67">
      <w:pPr>
        <w:jc w:val="center"/>
      </w:pPr>
      <w:r>
        <w:rPr>
          <w:noProof/>
          <w:lang w:eastAsia="en-GB"/>
        </w:rPr>
        <w:drawing>
          <wp:inline distT="0" distB="0" distL="0" distR="0" wp14:anchorId="45A750E5" wp14:editId="3ED74AD7">
            <wp:extent cx="2030095" cy="5759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16942"/>
                    <a:stretch>
                      <a:fillRect/>
                    </a:stretch>
                  </pic:blipFill>
                  <pic:spPr bwMode="auto">
                    <a:xfrm>
                      <a:off x="0" y="0"/>
                      <a:ext cx="2030095" cy="575945"/>
                    </a:xfrm>
                    <a:prstGeom prst="rect">
                      <a:avLst/>
                    </a:prstGeom>
                    <a:noFill/>
                  </pic:spPr>
                </pic:pic>
              </a:graphicData>
            </a:graphic>
          </wp:inline>
        </w:drawing>
      </w:r>
    </w:p>
    <w:p w:rsidR="005E2A67" w:rsidRDefault="005E2A67" w:rsidP="005E2A67">
      <w:pPr>
        <w:jc w:val="center"/>
      </w:pPr>
      <w:r>
        <w:t>The Council of the Inns of Court</w:t>
      </w:r>
    </w:p>
    <w:p w:rsidR="005E2A67" w:rsidRDefault="005E2A67" w:rsidP="005E2A67">
      <w:pPr>
        <w:jc w:val="center"/>
      </w:pPr>
    </w:p>
    <w:p w:rsidR="005E2A67" w:rsidRDefault="005E2A67" w:rsidP="005E2A67">
      <w:pPr>
        <w:jc w:val="center"/>
        <w:rPr>
          <w:b/>
          <w:sz w:val="32"/>
          <w:szCs w:val="32"/>
        </w:rPr>
      </w:pPr>
      <w:r>
        <w:rPr>
          <w:b/>
          <w:sz w:val="32"/>
          <w:szCs w:val="32"/>
        </w:rPr>
        <w:t>The Bar Tribunals &amp; Adjudication Service</w:t>
      </w:r>
    </w:p>
    <w:p w:rsidR="005E2A67" w:rsidRDefault="00EF16BF" w:rsidP="005E2A67">
      <w:pPr>
        <w:jc w:val="center"/>
        <w:rPr>
          <w:b/>
          <w:sz w:val="32"/>
          <w:szCs w:val="32"/>
        </w:rPr>
      </w:pPr>
      <w:r>
        <w:rPr>
          <w:b/>
          <w:sz w:val="32"/>
          <w:szCs w:val="32"/>
        </w:rPr>
        <w:t xml:space="preserve">MINUTES OF THE </w:t>
      </w:r>
      <w:r w:rsidR="005E2A67">
        <w:rPr>
          <w:b/>
          <w:sz w:val="32"/>
          <w:szCs w:val="32"/>
        </w:rPr>
        <w:t>STRATEGIC ADVISORY BOARD MEETING</w:t>
      </w:r>
    </w:p>
    <w:p w:rsidR="005E2A67" w:rsidRPr="005E2A67" w:rsidRDefault="005E2A67" w:rsidP="005E2A67">
      <w:pPr>
        <w:jc w:val="center"/>
        <w:rPr>
          <w:b/>
          <w:sz w:val="28"/>
          <w:szCs w:val="28"/>
        </w:rPr>
      </w:pPr>
      <w:r w:rsidRPr="005E2A67">
        <w:rPr>
          <w:b/>
          <w:sz w:val="28"/>
          <w:szCs w:val="28"/>
        </w:rPr>
        <w:t>Wednesday 9</w:t>
      </w:r>
      <w:r w:rsidRPr="005E2A67">
        <w:rPr>
          <w:b/>
          <w:sz w:val="28"/>
          <w:szCs w:val="28"/>
          <w:vertAlign w:val="superscript"/>
        </w:rPr>
        <w:t>th</w:t>
      </w:r>
      <w:r w:rsidRPr="005E2A67">
        <w:rPr>
          <w:b/>
          <w:sz w:val="28"/>
          <w:szCs w:val="28"/>
        </w:rPr>
        <w:t xml:space="preserve"> July 2014</w:t>
      </w:r>
      <w:r>
        <w:rPr>
          <w:b/>
          <w:sz w:val="28"/>
          <w:szCs w:val="28"/>
        </w:rPr>
        <w:t xml:space="preserve"> </w:t>
      </w:r>
    </w:p>
    <w:p w:rsidR="005E2A67" w:rsidRDefault="005E2A67" w:rsidP="005E2A67">
      <w:pPr>
        <w:jc w:val="center"/>
      </w:pPr>
      <w:r>
        <w:t>The Tribunal Suite, 9 Gray’s Inn Square, WC1R 5JF</w:t>
      </w:r>
    </w:p>
    <w:p w:rsidR="005E2A67" w:rsidRDefault="005E2A67" w:rsidP="005E2A67">
      <w:pPr>
        <w:jc w:val="center"/>
      </w:pPr>
    </w:p>
    <w:p w:rsidR="005E2A67" w:rsidRDefault="005E2A67" w:rsidP="005E2A67">
      <w:pPr>
        <w:jc w:val="center"/>
        <w:rPr>
          <w:b/>
          <w:sz w:val="24"/>
          <w:szCs w:val="24"/>
        </w:rPr>
      </w:pPr>
    </w:p>
    <w:tbl>
      <w:tblPr>
        <w:tblStyle w:val="TableGrid"/>
        <w:tblW w:w="0" w:type="auto"/>
        <w:tblLook w:val="04A0" w:firstRow="1" w:lastRow="0" w:firstColumn="1" w:lastColumn="0" w:noHBand="0" w:noVBand="1"/>
      </w:tblPr>
      <w:tblGrid>
        <w:gridCol w:w="817"/>
        <w:gridCol w:w="7088"/>
        <w:gridCol w:w="1337"/>
      </w:tblGrid>
      <w:tr w:rsidR="005E2A67" w:rsidRPr="00F77D29" w:rsidTr="00F77D29">
        <w:trPr>
          <w:trHeight w:val="567"/>
        </w:trPr>
        <w:tc>
          <w:tcPr>
            <w:tcW w:w="817" w:type="dxa"/>
          </w:tcPr>
          <w:p w:rsidR="005E2A67" w:rsidRDefault="005E2A67" w:rsidP="00295B25">
            <w:pPr>
              <w:rPr>
                <w:sz w:val="24"/>
                <w:szCs w:val="24"/>
              </w:rPr>
            </w:pPr>
            <w:r w:rsidRPr="00F77D29">
              <w:rPr>
                <w:sz w:val="24"/>
                <w:szCs w:val="24"/>
              </w:rPr>
              <w:t>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r>
              <w:rPr>
                <w:sz w:val="24"/>
                <w:szCs w:val="24"/>
              </w:rPr>
              <w:t>1.1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Pr="00F77D29" w:rsidRDefault="00EC617B" w:rsidP="00295B25">
            <w:pPr>
              <w:rPr>
                <w:sz w:val="24"/>
                <w:szCs w:val="24"/>
              </w:rPr>
            </w:pPr>
            <w:r>
              <w:rPr>
                <w:sz w:val="24"/>
                <w:szCs w:val="24"/>
              </w:rPr>
              <w:t>1.2</w:t>
            </w:r>
          </w:p>
        </w:tc>
        <w:tc>
          <w:tcPr>
            <w:tcW w:w="7088" w:type="dxa"/>
          </w:tcPr>
          <w:p w:rsidR="002F0A41" w:rsidRDefault="002F0A41" w:rsidP="00295B25">
            <w:pPr>
              <w:rPr>
                <w:b/>
                <w:i/>
                <w:sz w:val="24"/>
                <w:szCs w:val="24"/>
              </w:rPr>
            </w:pPr>
            <w:r w:rsidRPr="002F0A41">
              <w:rPr>
                <w:b/>
                <w:i/>
                <w:sz w:val="24"/>
                <w:szCs w:val="24"/>
              </w:rPr>
              <w:t xml:space="preserve">Present: </w:t>
            </w:r>
          </w:p>
          <w:p w:rsidR="002F0A41" w:rsidRDefault="002F0A41" w:rsidP="00295B25">
            <w:pPr>
              <w:rPr>
                <w:i/>
                <w:sz w:val="24"/>
                <w:szCs w:val="24"/>
              </w:rPr>
            </w:pPr>
            <w:r>
              <w:rPr>
                <w:i/>
                <w:sz w:val="24"/>
                <w:szCs w:val="24"/>
              </w:rPr>
              <w:t>Clare Dodgson</w:t>
            </w:r>
            <w:r>
              <w:rPr>
                <w:i/>
                <w:sz w:val="24"/>
                <w:szCs w:val="24"/>
              </w:rPr>
              <w:tab/>
            </w:r>
            <w:r>
              <w:rPr>
                <w:i/>
                <w:sz w:val="24"/>
                <w:szCs w:val="24"/>
              </w:rPr>
              <w:tab/>
              <w:t>Chair</w:t>
            </w:r>
            <w:r w:rsidR="004E7964">
              <w:rPr>
                <w:i/>
                <w:sz w:val="24"/>
                <w:szCs w:val="24"/>
              </w:rPr>
              <w:t xml:space="preserve"> of SAB and Lay Representative</w:t>
            </w:r>
            <w:r>
              <w:rPr>
                <w:i/>
                <w:sz w:val="24"/>
                <w:szCs w:val="24"/>
              </w:rPr>
              <w:t xml:space="preserve"> </w:t>
            </w:r>
          </w:p>
          <w:p w:rsidR="0034661E" w:rsidRDefault="002F0A41" w:rsidP="00295B25">
            <w:pPr>
              <w:rPr>
                <w:i/>
                <w:sz w:val="24"/>
                <w:szCs w:val="24"/>
              </w:rPr>
            </w:pPr>
            <w:r w:rsidRPr="002F0A41">
              <w:rPr>
                <w:i/>
                <w:sz w:val="24"/>
                <w:szCs w:val="24"/>
              </w:rPr>
              <w:t>Malcolm Cohen</w:t>
            </w:r>
            <w:r w:rsidR="0034661E">
              <w:rPr>
                <w:i/>
                <w:sz w:val="24"/>
                <w:szCs w:val="24"/>
              </w:rPr>
              <w:tab/>
              <w:t>Lay Board Member, Bar Standards Board</w:t>
            </w:r>
          </w:p>
          <w:p w:rsidR="0034661E" w:rsidRDefault="002F0A41" w:rsidP="00295B25">
            <w:pPr>
              <w:rPr>
                <w:i/>
                <w:sz w:val="24"/>
                <w:szCs w:val="24"/>
              </w:rPr>
            </w:pPr>
            <w:r w:rsidRPr="002F0A41">
              <w:rPr>
                <w:i/>
                <w:sz w:val="24"/>
                <w:szCs w:val="24"/>
              </w:rPr>
              <w:t>Vanessa Davie</w:t>
            </w:r>
            <w:r w:rsidR="0034661E">
              <w:rPr>
                <w:i/>
                <w:sz w:val="24"/>
                <w:szCs w:val="24"/>
              </w:rPr>
              <w:t>s</w:t>
            </w:r>
            <w:r w:rsidR="0034661E">
              <w:rPr>
                <w:i/>
                <w:sz w:val="24"/>
                <w:szCs w:val="24"/>
              </w:rPr>
              <w:tab/>
              <w:t>Director,  Bar Standards Board</w:t>
            </w:r>
            <w:r w:rsidRPr="002F0A41">
              <w:rPr>
                <w:i/>
                <w:sz w:val="24"/>
                <w:szCs w:val="24"/>
              </w:rPr>
              <w:t xml:space="preserve"> </w:t>
            </w:r>
          </w:p>
          <w:p w:rsidR="0034661E" w:rsidRDefault="002F0A41" w:rsidP="00295B25">
            <w:pPr>
              <w:rPr>
                <w:i/>
                <w:sz w:val="24"/>
                <w:szCs w:val="24"/>
              </w:rPr>
            </w:pPr>
            <w:r w:rsidRPr="002F0A41">
              <w:rPr>
                <w:i/>
                <w:sz w:val="24"/>
                <w:szCs w:val="24"/>
              </w:rPr>
              <w:t>Emir Feisal</w:t>
            </w:r>
            <w:r w:rsidR="0034661E">
              <w:rPr>
                <w:i/>
                <w:sz w:val="24"/>
                <w:szCs w:val="24"/>
              </w:rPr>
              <w:tab/>
            </w:r>
            <w:r w:rsidR="0034661E">
              <w:rPr>
                <w:i/>
                <w:sz w:val="24"/>
                <w:szCs w:val="24"/>
              </w:rPr>
              <w:tab/>
              <w:t>Member, Inns Conduct Committee</w:t>
            </w:r>
          </w:p>
          <w:p w:rsidR="0034661E" w:rsidRDefault="002F0A41" w:rsidP="00295B25">
            <w:pPr>
              <w:rPr>
                <w:i/>
                <w:sz w:val="24"/>
                <w:szCs w:val="24"/>
              </w:rPr>
            </w:pPr>
            <w:r w:rsidRPr="002F0A41">
              <w:rPr>
                <w:i/>
                <w:sz w:val="24"/>
                <w:szCs w:val="24"/>
              </w:rPr>
              <w:t>Sheila Hollingworth</w:t>
            </w:r>
            <w:r w:rsidR="0034661E">
              <w:rPr>
                <w:i/>
                <w:sz w:val="24"/>
                <w:szCs w:val="24"/>
              </w:rPr>
              <w:tab/>
              <w:t xml:space="preserve">Panellist, Disciplinary Tribunal pool </w:t>
            </w:r>
          </w:p>
          <w:p w:rsidR="0034661E" w:rsidRDefault="002F0A41" w:rsidP="00295B25">
            <w:pPr>
              <w:rPr>
                <w:i/>
                <w:sz w:val="24"/>
                <w:szCs w:val="24"/>
              </w:rPr>
            </w:pPr>
            <w:r w:rsidRPr="002F0A41">
              <w:rPr>
                <w:i/>
                <w:sz w:val="24"/>
                <w:szCs w:val="24"/>
              </w:rPr>
              <w:t>Joan Martin</w:t>
            </w:r>
            <w:r w:rsidR="0034661E">
              <w:rPr>
                <w:i/>
                <w:sz w:val="24"/>
                <w:szCs w:val="24"/>
              </w:rPr>
              <w:tab/>
            </w:r>
            <w:r w:rsidR="0034661E">
              <w:rPr>
                <w:i/>
                <w:sz w:val="24"/>
                <w:szCs w:val="24"/>
              </w:rPr>
              <w:tab/>
              <w:t>Lay Member, Tribunal Appointments Body</w:t>
            </w:r>
          </w:p>
          <w:p w:rsidR="001D28F0" w:rsidRDefault="002F0A41" w:rsidP="00295B25">
            <w:pPr>
              <w:rPr>
                <w:i/>
                <w:sz w:val="24"/>
                <w:szCs w:val="24"/>
              </w:rPr>
            </w:pPr>
            <w:r w:rsidRPr="002F0A41">
              <w:rPr>
                <w:i/>
                <w:sz w:val="24"/>
                <w:szCs w:val="24"/>
              </w:rPr>
              <w:t>Heather Rogers</w:t>
            </w:r>
            <w:r w:rsidR="0034661E">
              <w:rPr>
                <w:i/>
                <w:sz w:val="24"/>
                <w:szCs w:val="24"/>
              </w:rPr>
              <w:tab/>
              <w:t>Interim Chair, Inns Conduct Committee</w:t>
            </w:r>
          </w:p>
          <w:p w:rsidR="005E2A67" w:rsidRPr="002F0A41" w:rsidRDefault="001D28F0" w:rsidP="00295B25">
            <w:pPr>
              <w:rPr>
                <w:i/>
                <w:sz w:val="24"/>
                <w:szCs w:val="24"/>
              </w:rPr>
            </w:pPr>
            <w:r>
              <w:rPr>
                <w:i/>
                <w:sz w:val="24"/>
                <w:szCs w:val="24"/>
              </w:rPr>
              <w:t>Stuart Sleeman</w:t>
            </w:r>
            <w:r>
              <w:rPr>
                <w:i/>
                <w:sz w:val="24"/>
                <w:szCs w:val="24"/>
              </w:rPr>
              <w:tab/>
              <w:t>Chair, Disciplinary Tribunal Service</w:t>
            </w:r>
          </w:p>
          <w:p w:rsidR="002F0A41" w:rsidRPr="002F0A41" w:rsidRDefault="002F0A41" w:rsidP="00295B25">
            <w:pPr>
              <w:rPr>
                <w:i/>
                <w:sz w:val="24"/>
                <w:szCs w:val="24"/>
              </w:rPr>
            </w:pPr>
          </w:p>
          <w:p w:rsidR="00671B36" w:rsidRDefault="002F0A41" w:rsidP="00295B25">
            <w:pPr>
              <w:rPr>
                <w:b/>
                <w:i/>
                <w:sz w:val="24"/>
                <w:szCs w:val="24"/>
              </w:rPr>
            </w:pPr>
            <w:r w:rsidRPr="002F0A41">
              <w:rPr>
                <w:b/>
                <w:i/>
                <w:sz w:val="24"/>
                <w:szCs w:val="24"/>
              </w:rPr>
              <w:t xml:space="preserve">Apologies: </w:t>
            </w:r>
          </w:p>
          <w:p w:rsidR="002F0A41" w:rsidRPr="002F0A41" w:rsidRDefault="002F0A41" w:rsidP="00295B25">
            <w:pPr>
              <w:rPr>
                <w:i/>
                <w:sz w:val="24"/>
                <w:szCs w:val="24"/>
              </w:rPr>
            </w:pPr>
            <w:r w:rsidRPr="002F0A41">
              <w:rPr>
                <w:i/>
                <w:sz w:val="24"/>
                <w:szCs w:val="24"/>
              </w:rPr>
              <w:t>None</w:t>
            </w:r>
          </w:p>
          <w:p w:rsidR="002F0A41" w:rsidRPr="002F0A41" w:rsidRDefault="002F0A41" w:rsidP="00295B25">
            <w:pPr>
              <w:rPr>
                <w:i/>
                <w:sz w:val="24"/>
                <w:szCs w:val="24"/>
              </w:rPr>
            </w:pPr>
          </w:p>
          <w:p w:rsidR="001D28F0" w:rsidRDefault="002F0A41" w:rsidP="00295B25">
            <w:pPr>
              <w:rPr>
                <w:b/>
                <w:i/>
                <w:sz w:val="24"/>
                <w:szCs w:val="24"/>
              </w:rPr>
            </w:pPr>
            <w:r w:rsidRPr="002F0A41">
              <w:rPr>
                <w:b/>
                <w:i/>
                <w:sz w:val="24"/>
                <w:szCs w:val="24"/>
              </w:rPr>
              <w:t xml:space="preserve">In Attendance: </w:t>
            </w:r>
          </w:p>
          <w:p w:rsidR="001D28F0" w:rsidRDefault="002F0A41" w:rsidP="00295B25">
            <w:pPr>
              <w:rPr>
                <w:i/>
                <w:sz w:val="24"/>
                <w:szCs w:val="24"/>
              </w:rPr>
            </w:pPr>
            <w:r w:rsidRPr="002F0A41">
              <w:rPr>
                <w:i/>
                <w:sz w:val="24"/>
                <w:szCs w:val="24"/>
              </w:rPr>
              <w:t>Hayley Addison</w:t>
            </w:r>
            <w:r w:rsidR="001D28F0">
              <w:rPr>
                <w:i/>
                <w:sz w:val="24"/>
                <w:szCs w:val="24"/>
              </w:rPr>
              <w:tab/>
              <w:t>Administrator</w:t>
            </w:r>
            <w:r w:rsidR="004E7964">
              <w:rPr>
                <w:i/>
                <w:sz w:val="24"/>
                <w:szCs w:val="24"/>
              </w:rPr>
              <w:t>, BTAS</w:t>
            </w:r>
          </w:p>
          <w:p w:rsidR="001D28F0" w:rsidRDefault="002F0A41" w:rsidP="00295B25">
            <w:pPr>
              <w:rPr>
                <w:i/>
                <w:sz w:val="24"/>
                <w:szCs w:val="24"/>
              </w:rPr>
            </w:pPr>
            <w:r w:rsidRPr="002F0A41">
              <w:rPr>
                <w:i/>
                <w:sz w:val="24"/>
                <w:szCs w:val="24"/>
              </w:rPr>
              <w:t>Chandra Connaghan</w:t>
            </w:r>
            <w:r w:rsidR="001D28F0">
              <w:rPr>
                <w:i/>
                <w:sz w:val="24"/>
                <w:szCs w:val="24"/>
              </w:rPr>
              <w:tab/>
              <w:t>Contract Management Officer, BSB</w:t>
            </w:r>
          </w:p>
          <w:p w:rsidR="00671B36" w:rsidRDefault="002F0A41" w:rsidP="00295B25">
            <w:pPr>
              <w:rPr>
                <w:i/>
                <w:sz w:val="24"/>
                <w:szCs w:val="24"/>
              </w:rPr>
            </w:pPr>
            <w:r w:rsidRPr="002F0A41">
              <w:rPr>
                <w:i/>
                <w:sz w:val="24"/>
                <w:szCs w:val="24"/>
              </w:rPr>
              <w:t>Andy Russell</w:t>
            </w:r>
            <w:r w:rsidR="001D28F0">
              <w:rPr>
                <w:i/>
                <w:sz w:val="24"/>
                <w:szCs w:val="24"/>
              </w:rPr>
              <w:tab/>
            </w:r>
            <w:r w:rsidR="001D28F0">
              <w:rPr>
                <w:i/>
                <w:sz w:val="24"/>
                <w:szCs w:val="24"/>
              </w:rPr>
              <w:tab/>
              <w:t>Registrar</w:t>
            </w:r>
            <w:r w:rsidR="004E7964">
              <w:rPr>
                <w:i/>
                <w:sz w:val="24"/>
                <w:szCs w:val="24"/>
              </w:rPr>
              <w:t>, BTAS</w:t>
            </w:r>
          </w:p>
          <w:p w:rsidR="002F0A41" w:rsidRPr="002F0A41" w:rsidRDefault="002F0A41" w:rsidP="00295B25">
            <w:pPr>
              <w:rPr>
                <w:i/>
                <w:sz w:val="24"/>
                <w:szCs w:val="24"/>
              </w:rPr>
            </w:pPr>
            <w:r w:rsidRPr="002F0A41">
              <w:rPr>
                <w:i/>
                <w:sz w:val="24"/>
                <w:szCs w:val="24"/>
              </w:rPr>
              <w:t>James Wakefield</w:t>
            </w:r>
            <w:r w:rsidR="00671B36">
              <w:rPr>
                <w:i/>
                <w:sz w:val="24"/>
                <w:szCs w:val="24"/>
              </w:rPr>
              <w:tab/>
              <w:t>Director, COIC</w:t>
            </w:r>
          </w:p>
          <w:p w:rsidR="002F0A41" w:rsidRDefault="002F0A41" w:rsidP="00295B25">
            <w:pPr>
              <w:rPr>
                <w:sz w:val="24"/>
                <w:szCs w:val="24"/>
              </w:rPr>
            </w:pPr>
          </w:p>
          <w:p w:rsidR="00EC617B" w:rsidRDefault="002F0A41" w:rsidP="004E7964">
            <w:pPr>
              <w:rPr>
                <w:sz w:val="24"/>
                <w:szCs w:val="24"/>
              </w:rPr>
            </w:pPr>
            <w:r>
              <w:rPr>
                <w:sz w:val="24"/>
                <w:szCs w:val="24"/>
              </w:rPr>
              <w:t xml:space="preserve">The </w:t>
            </w:r>
            <w:r w:rsidR="009D374F">
              <w:rPr>
                <w:sz w:val="24"/>
                <w:szCs w:val="24"/>
              </w:rPr>
              <w:t>Board</w:t>
            </w:r>
            <w:r>
              <w:rPr>
                <w:sz w:val="24"/>
                <w:szCs w:val="24"/>
              </w:rPr>
              <w:t xml:space="preserve"> resolved that a vote of thanks be recorded for Wendy Harris, the Interim BTAS Registrar, for her considerable efforts and the success she achieved in establishing </w:t>
            </w:r>
            <w:r w:rsidR="004E7964">
              <w:rPr>
                <w:sz w:val="24"/>
                <w:szCs w:val="24"/>
              </w:rPr>
              <w:t xml:space="preserve">BTAS’s </w:t>
            </w:r>
            <w:r>
              <w:rPr>
                <w:sz w:val="24"/>
                <w:szCs w:val="24"/>
              </w:rPr>
              <w:t>new processes and policies.</w:t>
            </w:r>
          </w:p>
          <w:p w:rsidR="00EC617B" w:rsidRDefault="00EC617B" w:rsidP="004E7964">
            <w:pPr>
              <w:rPr>
                <w:sz w:val="24"/>
                <w:szCs w:val="24"/>
              </w:rPr>
            </w:pPr>
          </w:p>
          <w:p w:rsidR="002F0A41" w:rsidRPr="002F0A41" w:rsidRDefault="00EC617B" w:rsidP="009D374F">
            <w:pPr>
              <w:rPr>
                <w:sz w:val="24"/>
                <w:szCs w:val="24"/>
              </w:rPr>
            </w:pPr>
            <w:r>
              <w:rPr>
                <w:sz w:val="24"/>
                <w:szCs w:val="24"/>
              </w:rPr>
              <w:t xml:space="preserve">The </w:t>
            </w:r>
            <w:r w:rsidR="009D374F">
              <w:rPr>
                <w:sz w:val="24"/>
                <w:szCs w:val="24"/>
              </w:rPr>
              <w:t>Board</w:t>
            </w:r>
            <w:r>
              <w:rPr>
                <w:sz w:val="24"/>
                <w:szCs w:val="24"/>
              </w:rPr>
              <w:t xml:space="preserve"> noted with concern that Stuart </w:t>
            </w:r>
            <w:proofErr w:type="spellStart"/>
            <w:r>
              <w:rPr>
                <w:sz w:val="24"/>
                <w:szCs w:val="24"/>
              </w:rPr>
              <w:t>Sleeman’s</w:t>
            </w:r>
            <w:proofErr w:type="spellEnd"/>
            <w:r>
              <w:rPr>
                <w:sz w:val="24"/>
                <w:szCs w:val="24"/>
              </w:rPr>
              <w:t xml:space="preserve"> appointment as a Deputy Circuit Judge had not been renewed and so </w:t>
            </w:r>
            <w:r w:rsidR="003674B5">
              <w:rPr>
                <w:sz w:val="24"/>
                <w:szCs w:val="24"/>
              </w:rPr>
              <w:t xml:space="preserve">would </w:t>
            </w:r>
            <w:r>
              <w:rPr>
                <w:sz w:val="24"/>
                <w:szCs w:val="24"/>
              </w:rPr>
              <w:t>expire at the end of August this year.</w:t>
            </w:r>
            <w:r w:rsidR="002A1920">
              <w:rPr>
                <w:sz w:val="24"/>
                <w:szCs w:val="24"/>
              </w:rPr>
              <w:t xml:space="preserve"> The potential impact (if any) this would have on his four year appointment as Chair of the Disciplinary Tribunal Service (which commenced on 1 April 2014) was still being </w:t>
            </w:r>
            <w:r w:rsidR="002A1920">
              <w:rPr>
                <w:sz w:val="24"/>
                <w:szCs w:val="24"/>
              </w:rPr>
              <w:lastRenderedPageBreak/>
              <w:t>considered.</w:t>
            </w:r>
            <w:r>
              <w:rPr>
                <w:sz w:val="24"/>
                <w:szCs w:val="24"/>
              </w:rPr>
              <w:t xml:space="preserve">  </w:t>
            </w:r>
            <w:r w:rsidR="002F0A41">
              <w:rPr>
                <w:sz w:val="24"/>
                <w:szCs w:val="24"/>
              </w:rPr>
              <w:t xml:space="preserve">  </w:t>
            </w:r>
          </w:p>
        </w:tc>
        <w:tc>
          <w:tcPr>
            <w:tcW w:w="1337" w:type="dxa"/>
          </w:tcPr>
          <w:p w:rsidR="005E2A67" w:rsidRPr="00F77D29" w:rsidRDefault="005E2A67" w:rsidP="00295B25">
            <w:pPr>
              <w:rPr>
                <w:sz w:val="24"/>
                <w:szCs w:val="24"/>
              </w:rPr>
            </w:pP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lastRenderedPageBreak/>
              <w:t>2</w:t>
            </w:r>
          </w:p>
          <w:p w:rsidR="003674B5" w:rsidRDefault="003674B5" w:rsidP="00295B25">
            <w:pPr>
              <w:rPr>
                <w:sz w:val="24"/>
                <w:szCs w:val="24"/>
              </w:rPr>
            </w:pPr>
          </w:p>
          <w:p w:rsidR="003674B5" w:rsidRDefault="003674B5" w:rsidP="00295B25">
            <w:pPr>
              <w:rPr>
                <w:sz w:val="24"/>
                <w:szCs w:val="24"/>
              </w:rPr>
            </w:pPr>
            <w:r>
              <w:rPr>
                <w:sz w:val="24"/>
                <w:szCs w:val="24"/>
              </w:rPr>
              <w:t>2.1</w:t>
            </w:r>
          </w:p>
          <w:p w:rsidR="003674B5" w:rsidRDefault="003674B5" w:rsidP="00295B25">
            <w:pPr>
              <w:rPr>
                <w:sz w:val="24"/>
                <w:szCs w:val="24"/>
              </w:rPr>
            </w:pPr>
          </w:p>
          <w:p w:rsidR="003674B5" w:rsidRDefault="003674B5" w:rsidP="00295B25">
            <w:pPr>
              <w:rPr>
                <w:sz w:val="24"/>
                <w:szCs w:val="24"/>
              </w:rPr>
            </w:pPr>
          </w:p>
          <w:p w:rsidR="003674B5" w:rsidRDefault="003674B5" w:rsidP="00295B25">
            <w:pPr>
              <w:rPr>
                <w:sz w:val="24"/>
                <w:szCs w:val="24"/>
              </w:rPr>
            </w:pPr>
          </w:p>
          <w:p w:rsidR="003674B5" w:rsidRDefault="003674B5" w:rsidP="00295B25">
            <w:pPr>
              <w:rPr>
                <w:sz w:val="24"/>
                <w:szCs w:val="24"/>
              </w:rPr>
            </w:pPr>
          </w:p>
          <w:p w:rsidR="003674B5" w:rsidRDefault="003674B5" w:rsidP="00295B25">
            <w:pPr>
              <w:rPr>
                <w:sz w:val="24"/>
                <w:szCs w:val="24"/>
              </w:rPr>
            </w:pPr>
          </w:p>
          <w:p w:rsidR="003674B5" w:rsidRPr="00552C83" w:rsidRDefault="003674B5" w:rsidP="00295B25">
            <w:pPr>
              <w:rPr>
                <w:sz w:val="24"/>
                <w:szCs w:val="24"/>
              </w:rPr>
            </w:pPr>
          </w:p>
          <w:p w:rsidR="003674B5" w:rsidRPr="00552C83" w:rsidRDefault="003674B5" w:rsidP="00295B25">
            <w:pPr>
              <w:rPr>
                <w:sz w:val="24"/>
                <w:szCs w:val="24"/>
              </w:rPr>
            </w:pPr>
          </w:p>
          <w:p w:rsidR="003674B5" w:rsidRPr="00F77D29" w:rsidRDefault="003674B5" w:rsidP="00295B25">
            <w:pPr>
              <w:rPr>
                <w:sz w:val="24"/>
                <w:szCs w:val="24"/>
              </w:rPr>
            </w:pPr>
            <w:r w:rsidRPr="00552C83">
              <w:rPr>
                <w:sz w:val="24"/>
                <w:szCs w:val="24"/>
              </w:rPr>
              <w:t>2.2</w:t>
            </w:r>
          </w:p>
        </w:tc>
        <w:tc>
          <w:tcPr>
            <w:tcW w:w="7088" w:type="dxa"/>
          </w:tcPr>
          <w:p w:rsidR="005E2A67" w:rsidRPr="00552C83" w:rsidRDefault="00295B25" w:rsidP="00295B25">
            <w:pPr>
              <w:rPr>
                <w:b/>
                <w:sz w:val="24"/>
                <w:szCs w:val="24"/>
              </w:rPr>
            </w:pPr>
            <w:r w:rsidRPr="00552C83">
              <w:rPr>
                <w:b/>
                <w:sz w:val="24"/>
                <w:szCs w:val="24"/>
              </w:rPr>
              <w:t>Minutes of the Last Meeting</w:t>
            </w:r>
          </w:p>
          <w:p w:rsidR="00EC617B" w:rsidRPr="00552C83" w:rsidRDefault="00EC617B" w:rsidP="00295B25">
            <w:pPr>
              <w:rPr>
                <w:b/>
                <w:sz w:val="24"/>
                <w:szCs w:val="24"/>
              </w:rPr>
            </w:pPr>
          </w:p>
          <w:p w:rsidR="00295B25" w:rsidRPr="00552C83" w:rsidRDefault="00EC617B" w:rsidP="00295B25">
            <w:pPr>
              <w:rPr>
                <w:sz w:val="24"/>
                <w:szCs w:val="24"/>
              </w:rPr>
            </w:pPr>
            <w:r w:rsidRPr="00552C83">
              <w:rPr>
                <w:sz w:val="24"/>
                <w:szCs w:val="24"/>
              </w:rPr>
              <w:t>The</w:t>
            </w:r>
            <w:r w:rsidR="00295B25" w:rsidRPr="00552C83">
              <w:rPr>
                <w:sz w:val="24"/>
                <w:szCs w:val="24"/>
              </w:rPr>
              <w:t xml:space="preserve"> minutes of the meeting held on 10</w:t>
            </w:r>
            <w:r w:rsidR="00295B25" w:rsidRPr="00552C83">
              <w:rPr>
                <w:sz w:val="24"/>
                <w:szCs w:val="24"/>
                <w:vertAlign w:val="superscript"/>
              </w:rPr>
              <w:t>th</w:t>
            </w:r>
            <w:r w:rsidR="00295B25" w:rsidRPr="00552C83">
              <w:rPr>
                <w:sz w:val="24"/>
                <w:szCs w:val="24"/>
              </w:rPr>
              <w:t xml:space="preserve"> April 2014</w:t>
            </w:r>
            <w:r w:rsidRPr="00552C83">
              <w:rPr>
                <w:sz w:val="24"/>
                <w:szCs w:val="24"/>
              </w:rPr>
              <w:t xml:space="preserve"> were approved, subject to the following amendment:</w:t>
            </w:r>
          </w:p>
          <w:p w:rsidR="00EC617B" w:rsidRPr="00552C83" w:rsidRDefault="00EC617B" w:rsidP="00295B25">
            <w:pPr>
              <w:rPr>
                <w:sz w:val="24"/>
                <w:szCs w:val="24"/>
              </w:rPr>
            </w:pPr>
          </w:p>
          <w:p w:rsidR="00EC617B" w:rsidRPr="00552C83" w:rsidRDefault="00EC617B" w:rsidP="00295B25">
            <w:pPr>
              <w:rPr>
                <w:sz w:val="24"/>
                <w:szCs w:val="24"/>
              </w:rPr>
            </w:pPr>
            <w:r w:rsidRPr="00552C83">
              <w:rPr>
                <w:sz w:val="24"/>
                <w:szCs w:val="24"/>
              </w:rPr>
              <w:t>2.IV</w:t>
            </w:r>
            <w:r w:rsidRPr="00552C83">
              <w:rPr>
                <w:sz w:val="24"/>
                <w:szCs w:val="24"/>
              </w:rPr>
              <w:tab/>
              <w:t>the text “</w:t>
            </w:r>
            <w:r w:rsidRPr="00552C83">
              <w:rPr>
                <w:i/>
                <w:sz w:val="24"/>
                <w:szCs w:val="24"/>
              </w:rPr>
              <w:t xml:space="preserve">(including a chair)” </w:t>
            </w:r>
            <w:r w:rsidRPr="00552C83">
              <w:rPr>
                <w:sz w:val="24"/>
                <w:szCs w:val="24"/>
              </w:rPr>
              <w:t>should be deleted so it reads:</w:t>
            </w:r>
          </w:p>
          <w:p w:rsidR="00EC617B" w:rsidRPr="00552C83" w:rsidRDefault="00EC617B" w:rsidP="00295B25">
            <w:pPr>
              <w:rPr>
                <w:sz w:val="24"/>
                <w:szCs w:val="24"/>
              </w:rPr>
            </w:pPr>
          </w:p>
          <w:p w:rsidR="00EC617B" w:rsidRPr="00552C83" w:rsidRDefault="00EC617B" w:rsidP="00295B25">
            <w:pPr>
              <w:rPr>
                <w:rFonts w:cs="Arial"/>
                <w:i/>
                <w:sz w:val="24"/>
                <w:szCs w:val="24"/>
              </w:rPr>
            </w:pPr>
            <w:r w:rsidRPr="00552C83">
              <w:rPr>
                <w:rFonts w:cs="Arial"/>
                <w:i/>
                <w:sz w:val="24"/>
                <w:szCs w:val="24"/>
              </w:rPr>
              <w:t>At each SAB meeting there must be minimum of three SAB members, and out of the three, one must be a lay member.</w:t>
            </w:r>
          </w:p>
          <w:p w:rsidR="003674B5" w:rsidRPr="00552C83" w:rsidRDefault="003674B5" w:rsidP="00295B25">
            <w:pPr>
              <w:rPr>
                <w:rFonts w:cs="Arial"/>
                <w:i/>
                <w:sz w:val="24"/>
                <w:szCs w:val="24"/>
              </w:rPr>
            </w:pPr>
          </w:p>
          <w:p w:rsidR="003674B5" w:rsidRPr="00552C83" w:rsidRDefault="003674B5" w:rsidP="00295B25">
            <w:pPr>
              <w:rPr>
                <w:i/>
                <w:sz w:val="24"/>
                <w:szCs w:val="24"/>
              </w:rPr>
            </w:pPr>
            <w:r w:rsidRPr="00552C83">
              <w:rPr>
                <w:rFonts w:cs="Arial"/>
                <w:sz w:val="24"/>
                <w:szCs w:val="24"/>
              </w:rPr>
              <w:t xml:space="preserve">The </w:t>
            </w:r>
            <w:r w:rsidR="00552C83">
              <w:rPr>
                <w:rFonts w:cs="Arial"/>
                <w:sz w:val="24"/>
                <w:szCs w:val="24"/>
              </w:rPr>
              <w:t xml:space="preserve">Registrar reminded the </w:t>
            </w:r>
            <w:r w:rsidR="009D374F">
              <w:rPr>
                <w:rFonts w:cs="Arial"/>
                <w:sz w:val="24"/>
                <w:szCs w:val="24"/>
              </w:rPr>
              <w:t>Board</w:t>
            </w:r>
            <w:r w:rsidR="00552C83">
              <w:rPr>
                <w:rFonts w:cs="Arial"/>
                <w:sz w:val="24"/>
                <w:szCs w:val="24"/>
              </w:rPr>
              <w:t xml:space="preserve"> that, now they had been formally approved, the Minutes of the April meeting (with the above amendment) would be placed on the BTAS website. </w:t>
            </w:r>
            <w:r w:rsidR="00552C83">
              <w:rPr>
                <w:rFonts w:cs="Arial"/>
                <w:b/>
                <w:sz w:val="24"/>
                <w:szCs w:val="24"/>
              </w:rPr>
              <w:t>(Action: AR)</w:t>
            </w:r>
          </w:p>
          <w:p w:rsidR="00295B25" w:rsidRPr="00F77D29" w:rsidRDefault="00295B25" w:rsidP="00295B25">
            <w:pPr>
              <w:rPr>
                <w:sz w:val="24"/>
                <w:szCs w:val="24"/>
              </w:rPr>
            </w:pPr>
          </w:p>
        </w:tc>
        <w:tc>
          <w:tcPr>
            <w:tcW w:w="1337" w:type="dxa"/>
          </w:tcPr>
          <w:p w:rsidR="005E2A67" w:rsidRPr="00F77D29" w:rsidRDefault="00295B25" w:rsidP="00295B25">
            <w:pPr>
              <w:rPr>
                <w:sz w:val="24"/>
                <w:szCs w:val="24"/>
              </w:rPr>
            </w:pPr>
            <w:r w:rsidRPr="00F77D29">
              <w:rPr>
                <w:sz w:val="24"/>
                <w:szCs w:val="24"/>
              </w:rPr>
              <w:t>Annex A</w:t>
            </w: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3</w:t>
            </w:r>
          </w:p>
          <w:p w:rsidR="00E6165E" w:rsidRDefault="00E6165E" w:rsidP="00295B25">
            <w:pPr>
              <w:rPr>
                <w:sz w:val="24"/>
                <w:szCs w:val="24"/>
              </w:rPr>
            </w:pPr>
          </w:p>
          <w:p w:rsidR="00E6165E" w:rsidRDefault="00E6165E" w:rsidP="00295B25">
            <w:pPr>
              <w:rPr>
                <w:sz w:val="24"/>
                <w:szCs w:val="24"/>
              </w:rPr>
            </w:pPr>
            <w:r>
              <w:rPr>
                <w:sz w:val="24"/>
                <w:szCs w:val="24"/>
              </w:rPr>
              <w:t>3.1</w:t>
            </w: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r>
              <w:rPr>
                <w:sz w:val="24"/>
                <w:szCs w:val="24"/>
              </w:rPr>
              <w:t>3.2</w:t>
            </w: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r>
              <w:rPr>
                <w:sz w:val="24"/>
                <w:szCs w:val="24"/>
              </w:rPr>
              <w:t>3.3</w:t>
            </w:r>
          </w:p>
          <w:p w:rsidR="00E6165E" w:rsidRDefault="00E6165E" w:rsidP="00295B25">
            <w:pPr>
              <w:rPr>
                <w:sz w:val="24"/>
                <w:szCs w:val="24"/>
              </w:rPr>
            </w:pPr>
          </w:p>
          <w:p w:rsidR="00E6165E" w:rsidRPr="00F77D29" w:rsidRDefault="00E6165E" w:rsidP="00295B25">
            <w:pPr>
              <w:rPr>
                <w:sz w:val="24"/>
                <w:szCs w:val="24"/>
              </w:rPr>
            </w:pPr>
          </w:p>
          <w:p w:rsidR="00AE5D93" w:rsidRPr="00F77D29" w:rsidRDefault="00AE5D93" w:rsidP="00295B25">
            <w:pPr>
              <w:rPr>
                <w:sz w:val="24"/>
                <w:szCs w:val="24"/>
              </w:rPr>
            </w:pPr>
          </w:p>
        </w:tc>
        <w:tc>
          <w:tcPr>
            <w:tcW w:w="7088" w:type="dxa"/>
          </w:tcPr>
          <w:p w:rsidR="005E2A67" w:rsidRPr="00F77D29" w:rsidRDefault="00AE5D93" w:rsidP="00295B25">
            <w:pPr>
              <w:rPr>
                <w:b/>
                <w:sz w:val="24"/>
                <w:szCs w:val="24"/>
              </w:rPr>
            </w:pPr>
            <w:r w:rsidRPr="00F77D29">
              <w:rPr>
                <w:b/>
                <w:sz w:val="24"/>
                <w:szCs w:val="24"/>
              </w:rPr>
              <w:t>Actions from the Last Meeting</w:t>
            </w:r>
          </w:p>
          <w:p w:rsidR="00A44D03" w:rsidRPr="00F77D29" w:rsidRDefault="00A44D03" w:rsidP="00295B25">
            <w:pPr>
              <w:rPr>
                <w:sz w:val="24"/>
                <w:szCs w:val="24"/>
              </w:rPr>
            </w:pPr>
          </w:p>
          <w:p w:rsidR="00A44D03" w:rsidRPr="00F77D29" w:rsidRDefault="00E6165E" w:rsidP="00295B25">
            <w:pPr>
              <w:rPr>
                <w:rFonts w:cs="Arial"/>
                <w:sz w:val="24"/>
                <w:szCs w:val="24"/>
              </w:rPr>
            </w:pPr>
            <w:r>
              <w:rPr>
                <w:rFonts w:cs="Arial"/>
                <w:sz w:val="24"/>
                <w:szCs w:val="24"/>
              </w:rPr>
              <w:t>SAB member profiles: The Registrar confirmed that these were now available on the BTAS website.</w:t>
            </w:r>
          </w:p>
          <w:p w:rsidR="00A44D03" w:rsidRPr="00F77D29" w:rsidRDefault="00A44D03" w:rsidP="00295B25">
            <w:pPr>
              <w:rPr>
                <w:rFonts w:cs="Arial"/>
                <w:sz w:val="24"/>
                <w:szCs w:val="24"/>
              </w:rPr>
            </w:pPr>
          </w:p>
          <w:p w:rsidR="00A44D03" w:rsidRPr="00F77D29" w:rsidRDefault="00E85175" w:rsidP="00295B25">
            <w:pPr>
              <w:rPr>
                <w:rFonts w:cs="Arial"/>
                <w:sz w:val="24"/>
                <w:szCs w:val="24"/>
              </w:rPr>
            </w:pPr>
            <w:r>
              <w:rPr>
                <w:rFonts w:cs="Arial"/>
                <w:sz w:val="24"/>
                <w:szCs w:val="24"/>
              </w:rPr>
              <w:t>Directions J</w:t>
            </w:r>
            <w:r w:rsidR="00A44D03" w:rsidRPr="00F77D29">
              <w:rPr>
                <w:rFonts w:cs="Arial"/>
                <w:sz w:val="24"/>
                <w:szCs w:val="24"/>
              </w:rPr>
              <w:t>udges hearing substantive matter</w:t>
            </w:r>
            <w:r w:rsidR="00E6165E">
              <w:rPr>
                <w:rFonts w:cs="Arial"/>
                <w:sz w:val="24"/>
                <w:szCs w:val="24"/>
              </w:rPr>
              <w:t xml:space="preserve">s: While the </w:t>
            </w:r>
            <w:r w:rsidR="009D374F">
              <w:rPr>
                <w:rFonts w:cs="Arial"/>
                <w:sz w:val="24"/>
                <w:szCs w:val="24"/>
              </w:rPr>
              <w:t>Board</w:t>
            </w:r>
            <w:r w:rsidR="00E6165E">
              <w:rPr>
                <w:rFonts w:cs="Arial"/>
                <w:sz w:val="24"/>
                <w:szCs w:val="24"/>
              </w:rPr>
              <w:t xml:space="preserve"> noted that the general approach elsewhere was towards prioritising continuity (with the same individual(s) considering cases from start to finish) it was agreed that any discussion on this must be part of a wider case management review, to be initiated by the Registrar. (</w:t>
            </w:r>
            <w:r w:rsidR="00E6165E" w:rsidRPr="00E6165E">
              <w:rPr>
                <w:rFonts w:cs="Arial"/>
                <w:b/>
                <w:sz w:val="24"/>
                <w:szCs w:val="24"/>
              </w:rPr>
              <w:t xml:space="preserve">Action: AR) </w:t>
            </w:r>
          </w:p>
          <w:p w:rsidR="00E6165E" w:rsidRDefault="00E6165E" w:rsidP="00295B25">
            <w:pPr>
              <w:rPr>
                <w:rFonts w:cs="Arial"/>
                <w:sz w:val="24"/>
                <w:szCs w:val="24"/>
              </w:rPr>
            </w:pPr>
          </w:p>
          <w:p w:rsidR="00A44D03" w:rsidRPr="00F77D29" w:rsidRDefault="00A44D03" w:rsidP="00295B25">
            <w:pPr>
              <w:rPr>
                <w:sz w:val="24"/>
                <w:szCs w:val="24"/>
              </w:rPr>
            </w:pPr>
            <w:r w:rsidRPr="00F77D29">
              <w:rPr>
                <w:rFonts w:cs="Arial"/>
                <w:sz w:val="24"/>
                <w:szCs w:val="24"/>
              </w:rPr>
              <w:t>Organisational chart</w:t>
            </w:r>
            <w:r w:rsidR="00E6165E">
              <w:rPr>
                <w:rFonts w:cs="Arial"/>
                <w:sz w:val="24"/>
                <w:szCs w:val="24"/>
              </w:rPr>
              <w:t xml:space="preserve">s: </w:t>
            </w:r>
            <w:r w:rsidRPr="00F77D29">
              <w:rPr>
                <w:rFonts w:cs="Arial"/>
                <w:sz w:val="24"/>
                <w:szCs w:val="24"/>
              </w:rPr>
              <w:t xml:space="preserve"> </w:t>
            </w:r>
            <w:r w:rsidR="009D374F">
              <w:rPr>
                <w:rFonts w:cs="Arial"/>
                <w:sz w:val="24"/>
                <w:szCs w:val="24"/>
              </w:rPr>
              <w:t xml:space="preserve">The </w:t>
            </w:r>
            <w:r w:rsidRPr="00F77D29">
              <w:rPr>
                <w:rFonts w:cs="Arial"/>
                <w:sz w:val="24"/>
                <w:szCs w:val="24"/>
              </w:rPr>
              <w:t xml:space="preserve">BTAS and BSB </w:t>
            </w:r>
            <w:r w:rsidR="009D374F">
              <w:rPr>
                <w:rFonts w:cs="Arial"/>
                <w:sz w:val="24"/>
                <w:szCs w:val="24"/>
              </w:rPr>
              <w:t>charts were noted for information by the Board. It was agreed that the BTAS Chart should be amended to better reflect the SAB’</w:t>
            </w:r>
            <w:r w:rsidR="00F95599">
              <w:rPr>
                <w:rFonts w:cs="Arial"/>
                <w:sz w:val="24"/>
                <w:szCs w:val="24"/>
              </w:rPr>
              <w:t>s Terms of Reference. (</w:t>
            </w:r>
            <w:r w:rsidR="00F95599" w:rsidRPr="00E6165E">
              <w:rPr>
                <w:rFonts w:cs="Arial"/>
                <w:b/>
                <w:sz w:val="24"/>
                <w:szCs w:val="24"/>
              </w:rPr>
              <w:t>Action: AR)</w:t>
            </w:r>
          </w:p>
          <w:p w:rsidR="00295B25" w:rsidRPr="00F77D29" w:rsidRDefault="00295B25" w:rsidP="00295B25">
            <w:pPr>
              <w:rPr>
                <w:sz w:val="24"/>
                <w:szCs w:val="24"/>
              </w:rPr>
            </w:pPr>
          </w:p>
        </w:tc>
        <w:tc>
          <w:tcPr>
            <w:tcW w:w="1337" w:type="dxa"/>
          </w:tcPr>
          <w:p w:rsidR="00A44D03" w:rsidRPr="00F77D29" w:rsidRDefault="00A44D03" w:rsidP="00295B25">
            <w:pPr>
              <w:rPr>
                <w:sz w:val="24"/>
                <w:szCs w:val="24"/>
              </w:rPr>
            </w:pPr>
          </w:p>
          <w:p w:rsidR="00A44D03" w:rsidRPr="00F77D29" w:rsidRDefault="00A44D03" w:rsidP="00295B25">
            <w:pPr>
              <w:rPr>
                <w:sz w:val="24"/>
                <w:szCs w:val="24"/>
              </w:rPr>
            </w:pPr>
          </w:p>
          <w:p w:rsidR="00A44D03" w:rsidRPr="00F77D29" w:rsidRDefault="00A44D03" w:rsidP="00295B25">
            <w:pPr>
              <w:rPr>
                <w:sz w:val="24"/>
                <w:szCs w:val="24"/>
              </w:rPr>
            </w:pPr>
          </w:p>
          <w:p w:rsidR="00A44D03" w:rsidRPr="00F77D29" w:rsidRDefault="00A44D03" w:rsidP="00295B25">
            <w:pPr>
              <w:rPr>
                <w:sz w:val="24"/>
                <w:szCs w:val="24"/>
              </w:rPr>
            </w:pPr>
          </w:p>
          <w:p w:rsidR="00A44D03" w:rsidRPr="00F77D29" w:rsidRDefault="00A44D03" w:rsidP="00295B25">
            <w:pPr>
              <w:rPr>
                <w:sz w:val="24"/>
                <w:szCs w:val="24"/>
              </w:rPr>
            </w:pPr>
          </w:p>
          <w:p w:rsidR="00A44D03" w:rsidRPr="00F77D29" w:rsidRDefault="00A44D03" w:rsidP="00295B25">
            <w:pPr>
              <w:rPr>
                <w:sz w:val="24"/>
                <w:szCs w:val="24"/>
              </w:rPr>
            </w:pPr>
          </w:p>
          <w:p w:rsidR="00A44D03" w:rsidRPr="00F77D29" w:rsidRDefault="00A44D03"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5E2A67" w:rsidRPr="00F77D29" w:rsidRDefault="00295B25" w:rsidP="00295B25">
            <w:pPr>
              <w:rPr>
                <w:sz w:val="24"/>
                <w:szCs w:val="24"/>
              </w:rPr>
            </w:pPr>
            <w:r w:rsidRPr="00F77D29">
              <w:rPr>
                <w:sz w:val="24"/>
                <w:szCs w:val="24"/>
              </w:rPr>
              <w:t>Annex</w:t>
            </w:r>
            <w:r w:rsidR="00B24564" w:rsidRPr="00F77D29">
              <w:rPr>
                <w:sz w:val="24"/>
                <w:szCs w:val="24"/>
              </w:rPr>
              <w:t>es</w:t>
            </w:r>
            <w:r w:rsidRPr="00F77D29">
              <w:rPr>
                <w:sz w:val="24"/>
                <w:szCs w:val="24"/>
              </w:rPr>
              <w:t xml:space="preserve"> B</w:t>
            </w:r>
            <w:r w:rsidR="00B24564" w:rsidRPr="00F77D29">
              <w:rPr>
                <w:sz w:val="24"/>
                <w:szCs w:val="24"/>
              </w:rPr>
              <w:t xml:space="preserve">i &amp; </w:t>
            </w:r>
            <w:proofErr w:type="spellStart"/>
            <w:r w:rsidR="00B24564" w:rsidRPr="00F77D29">
              <w:rPr>
                <w:sz w:val="24"/>
                <w:szCs w:val="24"/>
              </w:rPr>
              <w:t>Bii</w:t>
            </w:r>
            <w:proofErr w:type="spellEnd"/>
          </w:p>
        </w:tc>
      </w:tr>
      <w:tr w:rsidR="005E2A67" w:rsidRPr="00F77D29" w:rsidTr="00F77D29">
        <w:trPr>
          <w:trHeight w:val="567"/>
        </w:trPr>
        <w:tc>
          <w:tcPr>
            <w:tcW w:w="817" w:type="dxa"/>
          </w:tcPr>
          <w:p w:rsidR="005E2A67" w:rsidRPr="00F77D29" w:rsidRDefault="005E2A67" w:rsidP="00295B25">
            <w:pPr>
              <w:rPr>
                <w:sz w:val="24"/>
                <w:szCs w:val="24"/>
              </w:rPr>
            </w:pPr>
            <w:r w:rsidRPr="00F77D29">
              <w:rPr>
                <w:sz w:val="24"/>
                <w:szCs w:val="24"/>
              </w:rPr>
              <w:t>4</w:t>
            </w:r>
          </w:p>
          <w:p w:rsidR="006014EC" w:rsidRPr="00F77D29" w:rsidRDefault="006014EC" w:rsidP="00295B25">
            <w:pPr>
              <w:rPr>
                <w:sz w:val="24"/>
                <w:szCs w:val="24"/>
              </w:rPr>
            </w:pPr>
          </w:p>
          <w:p w:rsidR="006014EC" w:rsidRDefault="006014EC" w:rsidP="00295B25">
            <w:pPr>
              <w:rPr>
                <w:sz w:val="24"/>
                <w:szCs w:val="24"/>
              </w:rPr>
            </w:pPr>
            <w:r w:rsidRPr="00F77D29">
              <w:rPr>
                <w:sz w:val="24"/>
                <w:szCs w:val="24"/>
              </w:rPr>
              <w:t>4.1</w:t>
            </w:r>
          </w:p>
          <w:p w:rsidR="0042272E" w:rsidRDefault="0042272E" w:rsidP="00295B25">
            <w:pPr>
              <w:rPr>
                <w:sz w:val="24"/>
                <w:szCs w:val="24"/>
              </w:rPr>
            </w:pPr>
          </w:p>
          <w:p w:rsidR="0042272E" w:rsidRDefault="0042272E" w:rsidP="00295B25">
            <w:pPr>
              <w:rPr>
                <w:sz w:val="24"/>
                <w:szCs w:val="24"/>
              </w:rPr>
            </w:pPr>
          </w:p>
          <w:p w:rsidR="0042272E" w:rsidRDefault="0042272E" w:rsidP="00295B25">
            <w:pPr>
              <w:rPr>
                <w:sz w:val="24"/>
                <w:szCs w:val="24"/>
              </w:rPr>
            </w:pPr>
          </w:p>
          <w:p w:rsidR="0042272E" w:rsidRDefault="0042272E" w:rsidP="00295B25">
            <w:pPr>
              <w:rPr>
                <w:sz w:val="24"/>
                <w:szCs w:val="24"/>
              </w:rPr>
            </w:pPr>
            <w:r>
              <w:rPr>
                <w:sz w:val="24"/>
                <w:szCs w:val="24"/>
              </w:rPr>
              <w:t>4.2</w:t>
            </w:r>
          </w:p>
          <w:p w:rsidR="00B948CB" w:rsidRDefault="00B948CB" w:rsidP="00295B25">
            <w:pPr>
              <w:rPr>
                <w:sz w:val="24"/>
                <w:szCs w:val="24"/>
              </w:rPr>
            </w:pPr>
          </w:p>
          <w:p w:rsidR="00E34A60" w:rsidRDefault="00E34A60" w:rsidP="00B948CB">
            <w:pPr>
              <w:tabs>
                <w:tab w:val="left" w:pos="0"/>
                <w:tab w:val="left" w:pos="318"/>
              </w:tabs>
              <w:ind w:left="318"/>
              <w:rPr>
                <w:sz w:val="24"/>
                <w:szCs w:val="24"/>
              </w:rPr>
            </w:pPr>
            <w:r>
              <w:rPr>
                <w:sz w:val="24"/>
                <w:szCs w:val="24"/>
              </w:rPr>
              <w:t>(a)</w:t>
            </w:r>
          </w:p>
          <w:p w:rsidR="00B948CB" w:rsidRDefault="00B948CB" w:rsidP="00B948CB">
            <w:pPr>
              <w:tabs>
                <w:tab w:val="left" w:pos="0"/>
                <w:tab w:val="left" w:pos="318"/>
              </w:tabs>
              <w:ind w:left="318"/>
              <w:rPr>
                <w:sz w:val="24"/>
                <w:szCs w:val="24"/>
              </w:rPr>
            </w:pPr>
          </w:p>
          <w:p w:rsidR="00D24FFD" w:rsidRDefault="00D24FFD" w:rsidP="00B948CB">
            <w:pPr>
              <w:tabs>
                <w:tab w:val="left" w:pos="0"/>
                <w:tab w:val="left" w:pos="318"/>
              </w:tabs>
              <w:ind w:left="318"/>
              <w:rPr>
                <w:sz w:val="24"/>
                <w:szCs w:val="24"/>
              </w:rPr>
            </w:pPr>
          </w:p>
          <w:p w:rsidR="00B948CB" w:rsidRDefault="00B948CB" w:rsidP="00B948CB">
            <w:pPr>
              <w:tabs>
                <w:tab w:val="left" w:pos="0"/>
                <w:tab w:val="left" w:pos="318"/>
              </w:tabs>
              <w:ind w:left="318"/>
              <w:rPr>
                <w:sz w:val="24"/>
                <w:szCs w:val="24"/>
              </w:rPr>
            </w:pPr>
          </w:p>
          <w:p w:rsidR="00B948CB" w:rsidRDefault="00B948CB" w:rsidP="00B948CB">
            <w:pPr>
              <w:tabs>
                <w:tab w:val="left" w:pos="0"/>
                <w:tab w:val="left" w:pos="318"/>
              </w:tabs>
              <w:ind w:left="318"/>
              <w:rPr>
                <w:sz w:val="24"/>
                <w:szCs w:val="24"/>
              </w:rPr>
            </w:pPr>
            <w:r>
              <w:rPr>
                <w:sz w:val="24"/>
                <w:szCs w:val="24"/>
              </w:rPr>
              <w:t>(b)</w:t>
            </w:r>
          </w:p>
          <w:p w:rsidR="00F62A2B" w:rsidRDefault="00F62A2B" w:rsidP="00295B25">
            <w:pPr>
              <w:rPr>
                <w:sz w:val="24"/>
                <w:szCs w:val="24"/>
              </w:rPr>
            </w:pPr>
          </w:p>
          <w:p w:rsidR="001609B3" w:rsidRPr="00F77D29" w:rsidRDefault="001609B3" w:rsidP="00295B25">
            <w:pPr>
              <w:rPr>
                <w:sz w:val="24"/>
                <w:szCs w:val="24"/>
              </w:rPr>
            </w:pPr>
          </w:p>
        </w:tc>
        <w:tc>
          <w:tcPr>
            <w:tcW w:w="7088" w:type="dxa"/>
          </w:tcPr>
          <w:p w:rsidR="005E2A67" w:rsidRPr="00F77D29" w:rsidRDefault="00AE5D93" w:rsidP="00295B25">
            <w:pPr>
              <w:rPr>
                <w:b/>
                <w:sz w:val="24"/>
                <w:szCs w:val="24"/>
              </w:rPr>
            </w:pPr>
            <w:r w:rsidRPr="00F77D29">
              <w:rPr>
                <w:b/>
                <w:sz w:val="24"/>
                <w:szCs w:val="24"/>
              </w:rPr>
              <w:t>Matters Arising</w:t>
            </w:r>
            <w:r w:rsidR="00D24FFD">
              <w:rPr>
                <w:b/>
                <w:sz w:val="24"/>
                <w:szCs w:val="24"/>
              </w:rPr>
              <w:t xml:space="preserve"> from the Minutes</w:t>
            </w:r>
          </w:p>
          <w:p w:rsidR="001609B3" w:rsidRDefault="001609B3" w:rsidP="00AE5D93">
            <w:pPr>
              <w:rPr>
                <w:sz w:val="24"/>
                <w:szCs w:val="24"/>
              </w:rPr>
            </w:pPr>
          </w:p>
          <w:p w:rsidR="0042272E" w:rsidRDefault="0042272E" w:rsidP="00AE5D93">
            <w:pPr>
              <w:rPr>
                <w:sz w:val="24"/>
                <w:szCs w:val="24"/>
              </w:rPr>
            </w:pPr>
            <w:r>
              <w:rPr>
                <w:sz w:val="24"/>
                <w:szCs w:val="24"/>
              </w:rPr>
              <w:t>Standard of Proof</w:t>
            </w:r>
            <w:r w:rsidR="00F95599">
              <w:rPr>
                <w:sz w:val="24"/>
                <w:szCs w:val="24"/>
              </w:rPr>
              <w:t>: It was agreed to carry this forward to the Board’s next meeting, by which time the BSB’s Board will have met and the position would be clearer.</w:t>
            </w:r>
          </w:p>
          <w:p w:rsidR="00F95599" w:rsidRDefault="00F95599" w:rsidP="00AE5D93">
            <w:pPr>
              <w:rPr>
                <w:sz w:val="24"/>
                <w:szCs w:val="24"/>
              </w:rPr>
            </w:pPr>
          </w:p>
          <w:p w:rsidR="00D24FFD" w:rsidRDefault="00E34A60" w:rsidP="00AE5D93">
            <w:pPr>
              <w:rPr>
                <w:sz w:val="24"/>
                <w:szCs w:val="24"/>
              </w:rPr>
            </w:pPr>
            <w:r>
              <w:rPr>
                <w:sz w:val="24"/>
                <w:szCs w:val="24"/>
              </w:rPr>
              <w:t>BTAS Newsletter</w:t>
            </w:r>
            <w:r w:rsidR="00F95599">
              <w:rPr>
                <w:sz w:val="24"/>
                <w:szCs w:val="24"/>
              </w:rPr>
              <w:t xml:space="preserve">: </w:t>
            </w:r>
          </w:p>
          <w:p w:rsidR="00D24FFD" w:rsidRDefault="00D24FFD" w:rsidP="00AE5D93">
            <w:pPr>
              <w:rPr>
                <w:sz w:val="24"/>
                <w:szCs w:val="24"/>
              </w:rPr>
            </w:pPr>
          </w:p>
          <w:p w:rsidR="006014EC" w:rsidRDefault="00F95599" w:rsidP="00AE5D93">
            <w:pPr>
              <w:rPr>
                <w:sz w:val="24"/>
                <w:szCs w:val="24"/>
              </w:rPr>
            </w:pPr>
            <w:r>
              <w:rPr>
                <w:sz w:val="24"/>
                <w:szCs w:val="24"/>
              </w:rPr>
              <w:t>The Board noted that no ideas had been submitted regarding the cont</w:t>
            </w:r>
            <w:r w:rsidR="00D24FFD">
              <w:rPr>
                <w:sz w:val="24"/>
                <w:szCs w:val="24"/>
              </w:rPr>
              <w:t>ent of future BTAS newsletters, and agreed to continue to give this thought.</w:t>
            </w:r>
          </w:p>
          <w:p w:rsidR="00B948CB" w:rsidRDefault="00B948CB" w:rsidP="00AE5D93">
            <w:pPr>
              <w:rPr>
                <w:sz w:val="24"/>
                <w:szCs w:val="24"/>
              </w:rPr>
            </w:pPr>
          </w:p>
          <w:p w:rsidR="00B948CB" w:rsidRDefault="00D24FFD" w:rsidP="00D008BB">
            <w:pPr>
              <w:rPr>
                <w:sz w:val="24"/>
                <w:szCs w:val="24"/>
              </w:rPr>
            </w:pPr>
            <w:r>
              <w:rPr>
                <w:sz w:val="24"/>
                <w:szCs w:val="24"/>
              </w:rPr>
              <w:t xml:space="preserve">The Board supported outline proposals from the Registrar to move away from the current lengthy written article format towards a more interactive email newsletter, with (where necessary) further information accessible via click-through links in shorter ‘news’ </w:t>
            </w:r>
            <w:r>
              <w:rPr>
                <w:sz w:val="24"/>
                <w:szCs w:val="24"/>
              </w:rPr>
              <w:lastRenderedPageBreak/>
              <w:t>summaries. E-newsletters could also be used to circulate links for online training, and encourage feedback and discussions, for example. The Board suggested that a study be done of newsletters produced by other regulators to identify good practice, and cautioned that</w:t>
            </w:r>
            <w:r w:rsidR="009D313A">
              <w:rPr>
                <w:sz w:val="24"/>
                <w:szCs w:val="24"/>
              </w:rPr>
              <w:t xml:space="preserve"> to be successful any e-newsletter had be very clear regarding</w:t>
            </w:r>
            <w:r w:rsidR="00C5612C">
              <w:rPr>
                <w:sz w:val="24"/>
                <w:szCs w:val="24"/>
              </w:rPr>
              <w:t xml:space="preserve"> the audience it was targeting.</w:t>
            </w:r>
          </w:p>
          <w:p w:rsidR="00F62A2B" w:rsidRPr="00B948CB" w:rsidRDefault="00F62A2B" w:rsidP="00D008BB">
            <w:pPr>
              <w:rPr>
                <w:sz w:val="24"/>
                <w:szCs w:val="24"/>
              </w:rPr>
            </w:pPr>
          </w:p>
        </w:tc>
        <w:tc>
          <w:tcPr>
            <w:tcW w:w="1337" w:type="dxa"/>
          </w:tcPr>
          <w:p w:rsidR="005E2A67" w:rsidRDefault="005E2A67" w:rsidP="00295B25">
            <w:pPr>
              <w:rPr>
                <w:sz w:val="24"/>
                <w:szCs w:val="24"/>
              </w:rPr>
            </w:pPr>
          </w:p>
          <w:p w:rsidR="0042272E" w:rsidRDefault="0042272E" w:rsidP="00295B25">
            <w:pPr>
              <w:rPr>
                <w:sz w:val="24"/>
                <w:szCs w:val="24"/>
              </w:rPr>
            </w:pPr>
          </w:p>
          <w:p w:rsidR="0042272E" w:rsidRDefault="0042272E" w:rsidP="00295B25">
            <w:pPr>
              <w:rPr>
                <w:sz w:val="24"/>
                <w:szCs w:val="24"/>
              </w:rPr>
            </w:pPr>
          </w:p>
          <w:p w:rsidR="0042272E" w:rsidRDefault="0042272E" w:rsidP="00295B25">
            <w:pPr>
              <w:rPr>
                <w:sz w:val="24"/>
                <w:szCs w:val="24"/>
              </w:rPr>
            </w:pPr>
          </w:p>
          <w:p w:rsidR="0042272E" w:rsidRDefault="0042272E" w:rsidP="00295B25">
            <w:pPr>
              <w:rPr>
                <w:sz w:val="24"/>
                <w:szCs w:val="24"/>
              </w:rPr>
            </w:pPr>
          </w:p>
          <w:p w:rsidR="0042272E" w:rsidRPr="00F77D29" w:rsidRDefault="0042272E"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lastRenderedPageBreak/>
              <w:t>5</w:t>
            </w:r>
          </w:p>
          <w:p w:rsidR="0042272E" w:rsidRDefault="0042272E" w:rsidP="00295B25">
            <w:pPr>
              <w:rPr>
                <w:sz w:val="24"/>
                <w:szCs w:val="24"/>
              </w:rPr>
            </w:pPr>
          </w:p>
          <w:p w:rsidR="0042272E" w:rsidRDefault="0042272E" w:rsidP="00295B25">
            <w:pPr>
              <w:rPr>
                <w:sz w:val="24"/>
                <w:szCs w:val="24"/>
              </w:rPr>
            </w:pPr>
            <w:r>
              <w:rPr>
                <w:sz w:val="24"/>
                <w:szCs w:val="24"/>
              </w:rPr>
              <w:t>5.1</w:t>
            </w:r>
          </w:p>
          <w:p w:rsidR="00D008BB" w:rsidRDefault="00D008BB" w:rsidP="00295B25">
            <w:pPr>
              <w:rPr>
                <w:sz w:val="24"/>
                <w:szCs w:val="24"/>
              </w:rPr>
            </w:pPr>
          </w:p>
          <w:p w:rsidR="00E9292C" w:rsidRDefault="00E9292C" w:rsidP="00295B25">
            <w:pPr>
              <w:rPr>
                <w:sz w:val="24"/>
                <w:szCs w:val="24"/>
              </w:rPr>
            </w:pPr>
          </w:p>
          <w:p w:rsidR="00E9292C" w:rsidRDefault="00E9292C" w:rsidP="00295B25">
            <w:pPr>
              <w:rPr>
                <w:sz w:val="24"/>
                <w:szCs w:val="24"/>
              </w:rPr>
            </w:pPr>
          </w:p>
          <w:p w:rsidR="00E9292C" w:rsidRDefault="00E9292C" w:rsidP="00295B25">
            <w:pPr>
              <w:rPr>
                <w:sz w:val="24"/>
                <w:szCs w:val="24"/>
              </w:rPr>
            </w:pPr>
          </w:p>
          <w:p w:rsidR="00E9292C" w:rsidRDefault="00E9292C" w:rsidP="00295B25">
            <w:pPr>
              <w:rPr>
                <w:sz w:val="24"/>
                <w:szCs w:val="24"/>
              </w:rPr>
            </w:pPr>
          </w:p>
          <w:p w:rsidR="00D008BB" w:rsidRDefault="00D008BB" w:rsidP="00295B25">
            <w:pPr>
              <w:rPr>
                <w:sz w:val="24"/>
                <w:szCs w:val="24"/>
              </w:rPr>
            </w:pPr>
            <w:r>
              <w:rPr>
                <w:sz w:val="24"/>
                <w:szCs w:val="24"/>
              </w:rPr>
              <w:t>5.2</w:t>
            </w:r>
          </w:p>
          <w:p w:rsidR="00FC12E7" w:rsidRDefault="00FC12E7" w:rsidP="00295B25">
            <w:pPr>
              <w:rPr>
                <w:sz w:val="24"/>
                <w:szCs w:val="24"/>
              </w:rPr>
            </w:pPr>
          </w:p>
          <w:p w:rsidR="00FC12E7" w:rsidRDefault="00FC12E7" w:rsidP="00295B25">
            <w:pPr>
              <w:rPr>
                <w:sz w:val="24"/>
                <w:szCs w:val="24"/>
              </w:rPr>
            </w:pPr>
          </w:p>
          <w:p w:rsidR="00FC12E7" w:rsidRDefault="00FC12E7" w:rsidP="00295B25">
            <w:pPr>
              <w:rPr>
                <w:sz w:val="24"/>
                <w:szCs w:val="24"/>
              </w:rPr>
            </w:pPr>
          </w:p>
          <w:p w:rsidR="00D008BB" w:rsidRPr="005E2A67" w:rsidRDefault="00D008BB" w:rsidP="00295B25">
            <w:pPr>
              <w:rPr>
                <w:sz w:val="24"/>
                <w:szCs w:val="24"/>
              </w:rPr>
            </w:pPr>
            <w:r>
              <w:rPr>
                <w:sz w:val="24"/>
                <w:szCs w:val="24"/>
              </w:rPr>
              <w:t>5.3</w:t>
            </w:r>
          </w:p>
        </w:tc>
        <w:tc>
          <w:tcPr>
            <w:tcW w:w="7088" w:type="dxa"/>
          </w:tcPr>
          <w:p w:rsidR="005E2A67" w:rsidRDefault="0042272E" w:rsidP="00295B25">
            <w:pPr>
              <w:rPr>
                <w:b/>
                <w:sz w:val="24"/>
                <w:szCs w:val="24"/>
              </w:rPr>
            </w:pPr>
            <w:r>
              <w:rPr>
                <w:b/>
                <w:sz w:val="24"/>
                <w:szCs w:val="24"/>
              </w:rPr>
              <w:t>Key Performance Indicators</w:t>
            </w:r>
          </w:p>
          <w:p w:rsidR="0042272E" w:rsidRDefault="0042272E" w:rsidP="00295B25">
            <w:pPr>
              <w:rPr>
                <w:b/>
                <w:sz w:val="24"/>
                <w:szCs w:val="24"/>
              </w:rPr>
            </w:pPr>
          </w:p>
          <w:p w:rsidR="00E9292C" w:rsidRPr="00E9292C" w:rsidRDefault="009D313A" w:rsidP="00E9292C">
            <w:pPr>
              <w:rPr>
                <w:b/>
                <w:sz w:val="24"/>
                <w:szCs w:val="24"/>
              </w:rPr>
            </w:pPr>
            <w:r>
              <w:rPr>
                <w:sz w:val="24"/>
                <w:szCs w:val="24"/>
              </w:rPr>
              <w:t xml:space="preserve">The Board </w:t>
            </w:r>
            <w:r w:rsidR="00E9292C">
              <w:rPr>
                <w:sz w:val="24"/>
                <w:szCs w:val="24"/>
              </w:rPr>
              <w:t>received</w:t>
            </w:r>
            <w:r>
              <w:rPr>
                <w:sz w:val="24"/>
                <w:szCs w:val="24"/>
              </w:rPr>
              <w:t xml:space="preserve"> the </w:t>
            </w:r>
            <w:r w:rsidR="0042272E">
              <w:rPr>
                <w:sz w:val="24"/>
                <w:szCs w:val="24"/>
              </w:rPr>
              <w:t xml:space="preserve">Q2 (Apr – Jun) </w:t>
            </w:r>
            <w:r w:rsidR="00B948CB">
              <w:rPr>
                <w:sz w:val="24"/>
                <w:szCs w:val="24"/>
              </w:rPr>
              <w:t xml:space="preserve">BTAS </w:t>
            </w:r>
            <w:r w:rsidR="0042272E">
              <w:rPr>
                <w:sz w:val="24"/>
                <w:szCs w:val="24"/>
              </w:rPr>
              <w:t>KPI Report</w:t>
            </w:r>
            <w:r w:rsidR="00E9292C">
              <w:rPr>
                <w:sz w:val="24"/>
                <w:szCs w:val="24"/>
              </w:rPr>
              <w:t xml:space="preserve"> and was pleased to note Chandra </w:t>
            </w:r>
            <w:proofErr w:type="spellStart"/>
            <w:r w:rsidR="00E9292C">
              <w:rPr>
                <w:sz w:val="24"/>
                <w:szCs w:val="24"/>
              </w:rPr>
              <w:t>Connaghan’s</w:t>
            </w:r>
            <w:proofErr w:type="spellEnd"/>
            <w:r w:rsidR="00E9292C">
              <w:rPr>
                <w:sz w:val="24"/>
                <w:szCs w:val="24"/>
              </w:rPr>
              <w:t xml:space="preserve"> confirmation that BTAS was currently </w:t>
            </w:r>
            <w:r w:rsidR="00220C72" w:rsidRPr="00D0657E">
              <w:rPr>
                <w:sz w:val="24"/>
                <w:szCs w:val="24"/>
              </w:rPr>
              <w:t xml:space="preserve">fully </w:t>
            </w:r>
            <w:r w:rsidR="00E9292C">
              <w:rPr>
                <w:sz w:val="24"/>
                <w:szCs w:val="24"/>
              </w:rPr>
              <w:t xml:space="preserve">meeting the KPIs. It was agreed that in future reports the KPIs be clearly linked to the indicators listed in the Service Agreement between BTAS and the BSB. </w:t>
            </w:r>
            <w:r w:rsidR="00E9292C">
              <w:rPr>
                <w:b/>
                <w:sz w:val="24"/>
                <w:szCs w:val="24"/>
              </w:rPr>
              <w:t>(Action: AR)</w:t>
            </w:r>
          </w:p>
          <w:p w:rsidR="00E9292C" w:rsidRDefault="00E9292C" w:rsidP="00E9292C">
            <w:pPr>
              <w:rPr>
                <w:sz w:val="24"/>
                <w:szCs w:val="24"/>
              </w:rPr>
            </w:pPr>
          </w:p>
          <w:p w:rsidR="0042272E" w:rsidRDefault="00E9292C" w:rsidP="00E9292C">
            <w:pPr>
              <w:rPr>
                <w:b/>
                <w:sz w:val="24"/>
                <w:szCs w:val="24"/>
              </w:rPr>
            </w:pPr>
            <w:r>
              <w:rPr>
                <w:sz w:val="24"/>
                <w:szCs w:val="24"/>
              </w:rPr>
              <w:t xml:space="preserve">The Registrar’s proposed new layout for reporting on some of the current KPIs was welcomed, and it was agreed that this be used in future </w:t>
            </w:r>
            <w:r>
              <w:rPr>
                <w:b/>
                <w:sz w:val="24"/>
                <w:szCs w:val="24"/>
              </w:rPr>
              <w:t>(Action: AR).</w:t>
            </w:r>
          </w:p>
          <w:p w:rsidR="00E9292C" w:rsidRDefault="00E9292C" w:rsidP="00E9292C">
            <w:pPr>
              <w:rPr>
                <w:b/>
                <w:sz w:val="24"/>
                <w:szCs w:val="24"/>
              </w:rPr>
            </w:pPr>
          </w:p>
          <w:p w:rsidR="00FC12E7" w:rsidRDefault="00FC12E7" w:rsidP="00E9292C">
            <w:pPr>
              <w:rPr>
                <w:sz w:val="24"/>
                <w:szCs w:val="24"/>
              </w:rPr>
            </w:pPr>
            <w:r w:rsidRPr="00FC12E7">
              <w:rPr>
                <w:sz w:val="24"/>
                <w:szCs w:val="24"/>
              </w:rPr>
              <w:t>The Board agreed that</w:t>
            </w:r>
            <w:r>
              <w:rPr>
                <w:sz w:val="24"/>
                <w:szCs w:val="24"/>
              </w:rPr>
              <w:t xml:space="preserve">, whatever the layout, the current KPIs gave operational, rather than strategic, performance information and that this limited its ability to act as BTAS’s </w:t>
            </w:r>
            <w:r>
              <w:rPr>
                <w:i/>
                <w:sz w:val="24"/>
                <w:szCs w:val="24"/>
              </w:rPr>
              <w:t xml:space="preserve">Strategic </w:t>
            </w:r>
            <w:r>
              <w:rPr>
                <w:sz w:val="24"/>
                <w:szCs w:val="24"/>
              </w:rPr>
              <w:t xml:space="preserve">Advisory Board. However, the current KPIs report still was of </w:t>
            </w:r>
            <w:r w:rsidRPr="00D0657E">
              <w:rPr>
                <w:sz w:val="24"/>
                <w:szCs w:val="24"/>
              </w:rPr>
              <w:t xml:space="preserve">value </w:t>
            </w:r>
            <w:r w:rsidR="00220C72" w:rsidRPr="00D0657E">
              <w:rPr>
                <w:sz w:val="24"/>
                <w:szCs w:val="24"/>
              </w:rPr>
              <w:t>as a baseline</w:t>
            </w:r>
            <w:r w:rsidR="00220C72">
              <w:rPr>
                <w:color w:val="C00000"/>
                <w:sz w:val="24"/>
                <w:szCs w:val="24"/>
              </w:rPr>
              <w:t xml:space="preserve"> </w:t>
            </w:r>
            <w:r>
              <w:rPr>
                <w:sz w:val="24"/>
                <w:szCs w:val="24"/>
              </w:rPr>
              <w:t xml:space="preserve">and was in any case a </w:t>
            </w:r>
            <w:r w:rsidR="00220C72" w:rsidRPr="00D0657E">
              <w:rPr>
                <w:sz w:val="24"/>
                <w:szCs w:val="24"/>
              </w:rPr>
              <w:t xml:space="preserve">requirement </w:t>
            </w:r>
            <w:r>
              <w:rPr>
                <w:sz w:val="24"/>
                <w:szCs w:val="24"/>
              </w:rPr>
              <w:t>under the terms of the Service Agreement</w:t>
            </w:r>
            <w:r w:rsidR="00220C72">
              <w:rPr>
                <w:sz w:val="24"/>
                <w:szCs w:val="24"/>
              </w:rPr>
              <w:t xml:space="preserve">. </w:t>
            </w:r>
            <w:r w:rsidR="00220C72" w:rsidRPr="00D0657E">
              <w:rPr>
                <w:sz w:val="24"/>
                <w:szCs w:val="24"/>
              </w:rPr>
              <w:t>T</w:t>
            </w:r>
            <w:r w:rsidRPr="00D0657E">
              <w:rPr>
                <w:sz w:val="24"/>
                <w:szCs w:val="24"/>
              </w:rPr>
              <w:t xml:space="preserve">he discussion </w:t>
            </w:r>
            <w:r w:rsidR="00220C72" w:rsidRPr="00D0657E">
              <w:rPr>
                <w:sz w:val="24"/>
                <w:szCs w:val="24"/>
              </w:rPr>
              <w:t xml:space="preserve">moved on to consider </w:t>
            </w:r>
            <w:r>
              <w:rPr>
                <w:sz w:val="24"/>
                <w:szCs w:val="24"/>
              </w:rPr>
              <w:t xml:space="preserve">how it could be augmented </w:t>
            </w:r>
            <w:r w:rsidR="00220C72" w:rsidRPr="00D0657E">
              <w:rPr>
                <w:sz w:val="24"/>
                <w:szCs w:val="24"/>
              </w:rPr>
              <w:t xml:space="preserve">and further developed </w:t>
            </w:r>
            <w:r>
              <w:rPr>
                <w:sz w:val="24"/>
                <w:szCs w:val="24"/>
              </w:rPr>
              <w:t>rather than replaced.</w:t>
            </w:r>
          </w:p>
          <w:p w:rsidR="00FC12E7" w:rsidRDefault="00FC12E7" w:rsidP="00E9292C">
            <w:pPr>
              <w:rPr>
                <w:sz w:val="24"/>
                <w:szCs w:val="24"/>
              </w:rPr>
            </w:pPr>
          </w:p>
          <w:p w:rsidR="00BE585C" w:rsidRDefault="00BE585C" w:rsidP="00E9292C">
            <w:pPr>
              <w:rPr>
                <w:sz w:val="24"/>
                <w:szCs w:val="24"/>
              </w:rPr>
            </w:pPr>
            <w:r>
              <w:rPr>
                <w:sz w:val="24"/>
                <w:szCs w:val="24"/>
              </w:rPr>
              <w:t xml:space="preserve">The guiding principle for this was to enable SAB to understand and comment on how satisfactory the service that BTAS provides is. Rather than details on specific cases, KPIs could be </w:t>
            </w:r>
            <w:r w:rsidR="008001C3">
              <w:rPr>
                <w:sz w:val="24"/>
                <w:szCs w:val="24"/>
              </w:rPr>
              <w:t>introduced</w:t>
            </w:r>
            <w:r>
              <w:rPr>
                <w:sz w:val="24"/>
                <w:szCs w:val="24"/>
              </w:rPr>
              <w:t xml:space="preserve"> on:</w:t>
            </w:r>
          </w:p>
          <w:p w:rsidR="00FC12E7" w:rsidRDefault="00BE585C" w:rsidP="00BE585C">
            <w:pPr>
              <w:pStyle w:val="ListParagraph"/>
              <w:numPr>
                <w:ilvl w:val="0"/>
                <w:numId w:val="3"/>
              </w:numPr>
              <w:ind w:hanging="184"/>
              <w:rPr>
                <w:sz w:val="24"/>
                <w:szCs w:val="24"/>
              </w:rPr>
            </w:pPr>
            <w:r>
              <w:rPr>
                <w:sz w:val="24"/>
                <w:szCs w:val="24"/>
              </w:rPr>
              <w:t>Number/proportion of cases that were adjourned or part-heard, with an accompanying report to provide explanations.</w:t>
            </w:r>
          </w:p>
          <w:p w:rsidR="00BE585C" w:rsidRDefault="00BE585C" w:rsidP="00BE585C">
            <w:pPr>
              <w:pStyle w:val="ListParagraph"/>
              <w:numPr>
                <w:ilvl w:val="0"/>
                <w:numId w:val="3"/>
              </w:numPr>
              <w:ind w:hanging="184"/>
              <w:rPr>
                <w:sz w:val="24"/>
                <w:szCs w:val="24"/>
              </w:rPr>
            </w:pPr>
            <w:r>
              <w:rPr>
                <w:sz w:val="24"/>
                <w:szCs w:val="24"/>
              </w:rPr>
              <w:t xml:space="preserve">Number/proportion of hearings being completed in </w:t>
            </w:r>
            <w:proofErr w:type="gramStart"/>
            <w:r>
              <w:rPr>
                <w:sz w:val="24"/>
                <w:szCs w:val="24"/>
              </w:rPr>
              <w:t>6,9,12  months</w:t>
            </w:r>
            <w:proofErr w:type="gramEnd"/>
            <w:r>
              <w:rPr>
                <w:sz w:val="24"/>
                <w:szCs w:val="24"/>
              </w:rPr>
              <w:t xml:space="preserve"> etc, with explanatory text on the outliers.</w:t>
            </w:r>
          </w:p>
          <w:p w:rsidR="00BE585C" w:rsidRDefault="00BE585C" w:rsidP="00BE585C">
            <w:pPr>
              <w:pStyle w:val="ListParagraph"/>
              <w:numPr>
                <w:ilvl w:val="0"/>
                <w:numId w:val="3"/>
              </w:numPr>
              <w:ind w:hanging="184"/>
              <w:rPr>
                <w:sz w:val="24"/>
                <w:szCs w:val="24"/>
              </w:rPr>
            </w:pPr>
            <w:r>
              <w:rPr>
                <w:sz w:val="24"/>
                <w:szCs w:val="24"/>
              </w:rPr>
              <w:t>Number/proportion of hearings with charge or plea changes, or those discontinued for any reason.</w:t>
            </w:r>
          </w:p>
          <w:p w:rsidR="00BE585C" w:rsidRDefault="00BE585C" w:rsidP="00BE585C">
            <w:pPr>
              <w:rPr>
                <w:sz w:val="24"/>
                <w:szCs w:val="24"/>
              </w:rPr>
            </w:pPr>
          </w:p>
          <w:p w:rsidR="008001C3" w:rsidRDefault="008001C3" w:rsidP="00D008BB">
            <w:pPr>
              <w:rPr>
                <w:b/>
                <w:sz w:val="24"/>
                <w:szCs w:val="24"/>
              </w:rPr>
            </w:pPr>
            <w:r>
              <w:rPr>
                <w:sz w:val="24"/>
                <w:szCs w:val="24"/>
              </w:rPr>
              <w:t xml:space="preserve">It was agreed that the Registrar would start to develop alternative KPIS to provide the SAB with </w:t>
            </w:r>
            <w:r w:rsidR="005F14A1" w:rsidRPr="00D0657E">
              <w:rPr>
                <w:sz w:val="24"/>
                <w:szCs w:val="24"/>
              </w:rPr>
              <w:t xml:space="preserve">more meaningful </w:t>
            </w:r>
            <w:r>
              <w:rPr>
                <w:sz w:val="24"/>
                <w:szCs w:val="24"/>
              </w:rPr>
              <w:t>information at a strategic level, including exception reports and trends over time. Whatever is developed should include an executive summary of text, highlighting the key points. The Registrar’s review should include consideration of the</w:t>
            </w:r>
            <w:r w:rsidR="0050045C">
              <w:rPr>
                <w:color w:val="C00000"/>
                <w:sz w:val="24"/>
                <w:szCs w:val="24"/>
              </w:rPr>
              <w:t xml:space="preserve"> </w:t>
            </w:r>
            <w:r w:rsidR="0050045C" w:rsidRPr="00D0657E">
              <w:rPr>
                <w:sz w:val="24"/>
                <w:szCs w:val="24"/>
              </w:rPr>
              <w:t xml:space="preserve">type of performance measures </w:t>
            </w:r>
            <w:r>
              <w:rPr>
                <w:sz w:val="24"/>
                <w:szCs w:val="24"/>
              </w:rPr>
              <w:t>by other regulatory bodies as potentially revealing good practice.  Malcolm Cohen and Sheila Hollingworth both offered their assistance before the next meeting to assist with this. (</w:t>
            </w:r>
            <w:r>
              <w:rPr>
                <w:b/>
                <w:sz w:val="24"/>
                <w:szCs w:val="24"/>
              </w:rPr>
              <w:t>Action: AR</w:t>
            </w:r>
            <w:r w:rsidR="00734D50">
              <w:rPr>
                <w:b/>
                <w:sz w:val="24"/>
                <w:szCs w:val="24"/>
              </w:rPr>
              <w:t>, MC, SH</w:t>
            </w:r>
            <w:r>
              <w:rPr>
                <w:b/>
                <w:sz w:val="24"/>
                <w:szCs w:val="24"/>
              </w:rPr>
              <w:t>).</w:t>
            </w:r>
          </w:p>
          <w:p w:rsidR="0042272E" w:rsidRPr="008001C3" w:rsidRDefault="00F62A2B" w:rsidP="00D008BB">
            <w:pPr>
              <w:rPr>
                <w:b/>
                <w:sz w:val="24"/>
                <w:szCs w:val="24"/>
              </w:rPr>
            </w:pPr>
            <w:r>
              <w:rPr>
                <w:i/>
                <w:sz w:val="24"/>
                <w:szCs w:val="24"/>
              </w:rPr>
              <w:t xml:space="preserve">  </w:t>
            </w:r>
            <w:r w:rsidR="00C8353F">
              <w:rPr>
                <w:i/>
                <w:sz w:val="24"/>
                <w:szCs w:val="24"/>
              </w:rPr>
              <w:t xml:space="preserve"> </w:t>
            </w:r>
            <w:r w:rsidR="00D008BB">
              <w:rPr>
                <w:sz w:val="24"/>
                <w:szCs w:val="24"/>
              </w:rPr>
              <w:t xml:space="preserve">  </w:t>
            </w:r>
          </w:p>
        </w:tc>
        <w:tc>
          <w:tcPr>
            <w:tcW w:w="1337" w:type="dxa"/>
          </w:tcPr>
          <w:p w:rsidR="005E2A67" w:rsidRDefault="005E2A67" w:rsidP="00295B25">
            <w:pPr>
              <w:rPr>
                <w:sz w:val="24"/>
                <w:szCs w:val="24"/>
              </w:rPr>
            </w:pPr>
          </w:p>
          <w:p w:rsidR="00B948CB" w:rsidRDefault="00B948CB" w:rsidP="00295B25">
            <w:pPr>
              <w:rPr>
                <w:sz w:val="24"/>
                <w:szCs w:val="24"/>
              </w:rPr>
            </w:pPr>
          </w:p>
          <w:p w:rsidR="00B948CB" w:rsidRDefault="00DD3DC9" w:rsidP="00295B25">
            <w:pPr>
              <w:rPr>
                <w:sz w:val="24"/>
                <w:szCs w:val="24"/>
              </w:rPr>
            </w:pPr>
            <w:r>
              <w:rPr>
                <w:sz w:val="24"/>
                <w:szCs w:val="24"/>
              </w:rPr>
              <w:t>Annex C</w:t>
            </w:r>
          </w:p>
          <w:p w:rsidR="00D008BB" w:rsidRDefault="00D008BB" w:rsidP="00295B25">
            <w:pPr>
              <w:rPr>
                <w:sz w:val="24"/>
                <w:szCs w:val="24"/>
              </w:rPr>
            </w:pPr>
          </w:p>
          <w:p w:rsidR="00E9292C" w:rsidRDefault="00E9292C" w:rsidP="00295B25">
            <w:pPr>
              <w:rPr>
                <w:sz w:val="24"/>
                <w:szCs w:val="24"/>
              </w:rPr>
            </w:pPr>
          </w:p>
          <w:p w:rsidR="00E9292C" w:rsidRDefault="00E9292C" w:rsidP="00295B25">
            <w:pPr>
              <w:rPr>
                <w:sz w:val="24"/>
                <w:szCs w:val="24"/>
              </w:rPr>
            </w:pPr>
          </w:p>
          <w:p w:rsidR="00E9292C" w:rsidRDefault="00E9292C" w:rsidP="00295B25">
            <w:pPr>
              <w:rPr>
                <w:sz w:val="24"/>
                <w:szCs w:val="24"/>
              </w:rPr>
            </w:pPr>
          </w:p>
          <w:p w:rsidR="00E9292C" w:rsidRDefault="00E9292C" w:rsidP="00295B25">
            <w:pPr>
              <w:rPr>
                <w:sz w:val="24"/>
                <w:szCs w:val="24"/>
              </w:rPr>
            </w:pPr>
          </w:p>
          <w:p w:rsidR="00D008BB" w:rsidRPr="005E2A67" w:rsidRDefault="00DD3DC9" w:rsidP="00295B25">
            <w:pPr>
              <w:rPr>
                <w:sz w:val="24"/>
                <w:szCs w:val="24"/>
              </w:rPr>
            </w:pPr>
            <w:r>
              <w:rPr>
                <w:sz w:val="24"/>
                <w:szCs w:val="24"/>
              </w:rPr>
              <w:t>Annex D</w:t>
            </w:r>
          </w:p>
        </w:tc>
      </w:tr>
      <w:tr w:rsidR="005E2A67" w:rsidTr="00F77D29">
        <w:trPr>
          <w:trHeight w:val="567"/>
        </w:trPr>
        <w:tc>
          <w:tcPr>
            <w:tcW w:w="817" w:type="dxa"/>
          </w:tcPr>
          <w:p w:rsidR="005E2A67" w:rsidRPr="005E2A67" w:rsidRDefault="005E2A67" w:rsidP="00295B25">
            <w:pPr>
              <w:rPr>
                <w:sz w:val="24"/>
                <w:szCs w:val="24"/>
              </w:rPr>
            </w:pPr>
            <w:r w:rsidRPr="005E2A67">
              <w:rPr>
                <w:sz w:val="24"/>
                <w:szCs w:val="24"/>
              </w:rPr>
              <w:lastRenderedPageBreak/>
              <w:t>6</w:t>
            </w:r>
          </w:p>
        </w:tc>
        <w:tc>
          <w:tcPr>
            <w:tcW w:w="7088" w:type="dxa"/>
          </w:tcPr>
          <w:p w:rsidR="005E2A67" w:rsidRDefault="00930DB1" w:rsidP="00295B25">
            <w:pPr>
              <w:rPr>
                <w:b/>
                <w:sz w:val="24"/>
                <w:szCs w:val="24"/>
              </w:rPr>
            </w:pPr>
            <w:r>
              <w:rPr>
                <w:b/>
                <w:sz w:val="24"/>
                <w:szCs w:val="24"/>
              </w:rPr>
              <w:t>COIC Entity Update</w:t>
            </w:r>
          </w:p>
          <w:p w:rsidR="00930DB1" w:rsidRDefault="00930DB1" w:rsidP="00295B25">
            <w:pPr>
              <w:rPr>
                <w:b/>
                <w:sz w:val="24"/>
                <w:szCs w:val="24"/>
              </w:rPr>
            </w:pPr>
          </w:p>
          <w:p w:rsidR="00930DB1" w:rsidRDefault="008001C3" w:rsidP="00295B25">
            <w:pPr>
              <w:rPr>
                <w:sz w:val="24"/>
                <w:szCs w:val="24"/>
              </w:rPr>
            </w:pPr>
            <w:r>
              <w:rPr>
                <w:sz w:val="24"/>
                <w:szCs w:val="24"/>
              </w:rPr>
              <w:t>The Director of COIC confirmed that with effect from 1 July 2014 the Council of the Inns of Court was operating as a charity</w:t>
            </w:r>
            <w:r w:rsidR="00FA0A60">
              <w:rPr>
                <w:sz w:val="24"/>
                <w:szCs w:val="24"/>
              </w:rPr>
              <w:t>.</w:t>
            </w:r>
            <w:r>
              <w:rPr>
                <w:sz w:val="24"/>
                <w:szCs w:val="24"/>
              </w:rPr>
              <w:t xml:space="preserve"> This would make little or no difference in terms of policies and practices from an external point of view.</w:t>
            </w:r>
          </w:p>
          <w:p w:rsidR="008001C3" w:rsidRDefault="008001C3" w:rsidP="00295B25">
            <w:pPr>
              <w:rPr>
                <w:sz w:val="24"/>
                <w:szCs w:val="24"/>
              </w:rPr>
            </w:pPr>
          </w:p>
          <w:p w:rsidR="008001C3" w:rsidRDefault="008001C3" w:rsidP="00295B25">
            <w:pPr>
              <w:rPr>
                <w:sz w:val="24"/>
                <w:szCs w:val="24"/>
              </w:rPr>
            </w:pPr>
            <w:r>
              <w:rPr>
                <w:sz w:val="24"/>
                <w:szCs w:val="24"/>
              </w:rPr>
              <w:t>The Chair congratulated the Director on behalf of the Board, and acknowledged the vast amount of work that he had successfully completed to achieve this.</w:t>
            </w:r>
          </w:p>
          <w:p w:rsidR="00DD3DC9" w:rsidRPr="00930DB1" w:rsidRDefault="00DD3DC9" w:rsidP="00295B25">
            <w:pPr>
              <w:rPr>
                <w:sz w:val="24"/>
                <w:szCs w:val="24"/>
              </w:rPr>
            </w:pPr>
          </w:p>
        </w:tc>
        <w:tc>
          <w:tcPr>
            <w:tcW w:w="1337" w:type="dxa"/>
          </w:tcPr>
          <w:p w:rsidR="005E2A67" w:rsidRPr="005E2A67" w:rsidRDefault="005E2A67" w:rsidP="00295B25">
            <w:pPr>
              <w:rPr>
                <w:sz w:val="24"/>
                <w:szCs w:val="24"/>
              </w:rPr>
            </w:pPr>
          </w:p>
        </w:tc>
      </w:tr>
      <w:tr w:rsidR="005E2A67" w:rsidTr="00F77D29">
        <w:trPr>
          <w:trHeight w:val="567"/>
        </w:trPr>
        <w:tc>
          <w:tcPr>
            <w:tcW w:w="817" w:type="dxa"/>
          </w:tcPr>
          <w:p w:rsidR="005E2A67" w:rsidRPr="005E2A67" w:rsidRDefault="005E2A67" w:rsidP="00295B25">
            <w:pPr>
              <w:rPr>
                <w:sz w:val="24"/>
                <w:szCs w:val="24"/>
              </w:rPr>
            </w:pPr>
            <w:r w:rsidRPr="005E2A67">
              <w:rPr>
                <w:sz w:val="24"/>
                <w:szCs w:val="24"/>
              </w:rPr>
              <w:t>7</w:t>
            </w:r>
          </w:p>
        </w:tc>
        <w:tc>
          <w:tcPr>
            <w:tcW w:w="7088" w:type="dxa"/>
          </w:tcPr>
          <w:p w:rsidR="005E2A67" w:rsidRDefault="00FA0A60" w:rsidP="00295B25">
            <w:pPr>
              <w:rPr>
                <w:b/>
                <w:sz w:val="24"/>
                <w:szCs w:val="24"/>
              </w:rPr>
            </w:pPr>
            <w:r>
              <w:rPr>
                <w:b/>
                <w:sz w:val="24"/>
                <w:szCs w:val="24"/>
              </w:rPr>
              <w:t>Inns Conduct Committee Review Update</w:t>
            </w:r>
          </w:p>
          <w:p w:rsidR="00FA0A60" w:rsidRDefault="00FA0A60" w:rsidP="00295B25">
            <w:pPr>
              <w:rPr>
                <w:b/>
                <w:sz w:val="24"/>
                <w:szCs w:val="24"/>
              </w:rPr>
            </w:pPr>
          </w:p>
          <w:p w:rsidR="00734D50" w:rsidRDefault="00017A6A" w:rsidP="00295B25">
            <w:pPr>
              <w:rPr>
                <w:sz w:val="24"/>
                <w:szCs w:val="24"/>
              </w:rPr>
            </w:pPr>
            <w:r>
              <w:rPr>
                <w:sz w:val="24"/>
                <w:szCs w:val="24"/>
              </w:rPr>
              <w:t xml:space="preserve">The Registrar confirmed that he </w:t>
            </w:r>
            <w:r w:rsidR="00734D50">
              <w:rPr>
                <w:sz w:val="24"/>
                <w:szCs w:val="24"/>
              </w:rPr>
              <w:t>was finalising plans that would see the ICC Rules rewritten by the end of 2014, after which they would be passed for approval to the BSB so that they could be implemented with effect from 1 September 2014.</w:t>
            </w:r>
          </w:p>
          <w:p w:rsidR="00734D50" w:rsidRDefault="00734D50" w:rsidP="00295B25">
            <w:pPr>
              <w:rPr>
                <w:sz w:val="24"/>
                <w:szCs w:val="24"/>
              </w:rPr>
            </w:pPr>
          </w:p>
          <w:p w:rsidR="00734D50" w:rsidRDefault="00734D50" w:rsidP="00295B25">
            <w:pPr>
              <w:rPr>
                <w:sz w:val="24"/>
                <w:szCs w:val="24"/>
              </w:rPr>
            </w:pPr>
            <w:r>
              <w:rPr>
                <w:sz w:val="24"/>
                <w:szCs w:val="24"/>
              </w:rPr>
              <w:t>The Board was content with this proposal, but emphasised that while there may be some commonality between the new ICC and existing Disciplinary Tribunal rules, there were also fundamental differences that must be kept in mind throughout</w:t>
            </w:r>
            <w:r w:rsidR="00E85175">
              <w:rPr>
                <w:sz w:val="24"/>
                <w:szCs w:val="24"/>
              </w:rPr>
              <w:t xml:space="preserve"> </w:t>
            </w:r>
            <w:r>
              <w:rPr>
                <w:sz w:val="24"/>
                <w:szCs w:val="24"/>
              </w:rPr>
              <w:t xml:space="preserve">- not least that those subject to ICC rules did not work with the public, whereas those </w:t>
            </w:r>
            <w:r w:rsidR="00E85175">
              <w:rPr>
                <w:sz w:val="24"/>
                <w:szCs w:val="24"/>
              </w:rPr>
              <w:t>to whom</w:t>
            </w:r>
            <w:r>
              <w:rPr>
                <w:sz w:val="24"/>
                <w:szCs w:val="24"/>
              </w:rPr>
              <w:t xml:space="preserve"> the DT rules applied did.</w:t>
            </w:r>
          </w:p>
          <w:p w:rsidR="00734D50" w:rsidRDefault="00734D50" w:rsidP="00295B25">
            <w:pPr>
              <w:rPr>
                <w:sz w:val="24"/>
                <w:szCs w:val="24"/>
              </w:rPr>
            </w:pPr>
          </w:p>
          <w:p w:rsidR="00734D50" w:rsidRPr="00734D50" w:rsidRDefault="00734D50" w:rsidP="00295B25">
            <w:pPr>
              <w:rPr>
                <w:b/>
                <w:sz w:val="24"/>
                <w:szCs w:val="24"/>
              </w:rPr>
            </w:pPr>
            <w:r>
              <w:rPr>
                <w:sz w:val="24"/>
                <w:szCs w:val="24"/>
              </w:rPr>
              <w:t>The Registrar agreed to send the BSB Director a draft of the timetable for the review so that she could consider the timings of the approval process. (</w:t>
            </w:r>
            <w:r>
              <w:rPr>
                <w:b/>
                <w:sz w:val="24"/>
                <w:szCs w:val="24"/>
              </w:rPr>
              <w:t>Action: AR)</w:t>
            </w:r>
          </w:p>
          <w:p w:rsidR="00734D50" w:rsidRDefault="00734D50" w:rsidP="00295B25">
            <w:pPr>
              <w:rPr>
                <w:sz w:val="24"/>
                <w:szCs w:val="24"/>
              </w:rPr>
            </w:pPr>
          </w:p>
          <w:p w:rsidR="00734D50" w:rsidRDefault="00734D50" w:rsidP="00295B25">
            <w:pPr>
              <w:rPr>
                <w:sz w:val="24"/>
                <w:szCs w:val="24"/>
              </w:rPr>
            </w:pPr>
            <w:r>
              <w:rPr>
                <w:sz w:val="24"/>
                <w:szCs w:val="24"/>
              </w:rPr>
              <w:t>The Chair noted that, in due course, details of ICC performance and issues should be put before the SAB in the same way as for the Disciplinary Tribunals, in accordance with its Terms of Reference.</w:t>
            </w:r>
          </w:p>
          <w:p w:rsidR="00734D50" w:rsidRDefault="00734D50" w:rsidP="00295B25">
            <w:pPr>
              <w:rPr>
                <w:sz w:val="24"/>
                <w:szCs w:val="24"/>
              </w:rPr>
            </w:pPr>
          </w:p>
          <w:p w:rsidR="00FA0A60" w:rsidRDefault="00734D50" w:rsidP="00295B25">
            <w:pPr>
              <w:rPr>
                <w:sz w:val="24"/>
                <w:szCs w:val="24"/>
              </w:rPr>
            </w:pPr>
            <w:r>
              <w:rPr>
                <w:sz w:val="24"/>
                <w:szCs w:val="24"/>
              </w:rPr>
              <w:t xml:space="preserve">Malcolm Cohen </w:t>
            </w:r>
            <w:r w:rsidR="00A47ECB">
              <w:rPr>
                <w:sz w:val="24"/>
                <w:szCs w:val="24"/>
              </w:rPr>
              <w:t>put on record that, as a member of the BSB’s Board, he would in due course be required to approve the new ICC Rules, and would therefore be potentially conflicted should he offer any comment on them as a member of SAB. It was accordingly agreed that he would play no part in any future discussions on revisions to the ICC Rules but simply observe them.</w:t>
            </w:r>
            <w:r w:rsidR="00E97507">
              <w:rPr>
                <w:sz w:val="24"/>
                <w:szCs w:val="24"/>
              </w:rPr>
              <w:t xml:space="preserve"> </w:t>
            </w:r>
            <w:r w:rsidR="00A47ECB">
              <w:rPr>
                <w:sz w:val="24"/>
                <w:szCs w:val="24"/>
              </w:rPr>
              <w:t>(</w:t>
            </w:r>
            <w:r w:rsidR="00A47ECB">
              <w:rPr>
                <w:b/>
                <w:sz w:val="24"/>
                <w:szCs w:val="24"/>
              </w:rPr>
              <w:t>Action: MC</w:t>
            </w:r>
            <w:r w:rsidR="00A47ECB">
              <w:rPr>
                <w:sz w:val="24"/>
                <w:szCs w:val="24"/>
              </w:rPr>
              <w:t xml:space="preserve">) </w:t>
            </w:r>
            <w:r>
              <w:rPr>
                <w:sz w:val="24"/>
                <w:szCs w:val="24"/>
              </w:rPr>
              <w:t xml:space="preserve">   </w:t>
            </w:r>
          </w:p>
          <w:p w:rsidR="00DD3DC9" w:rsidRPr="00FA0A60" w:rsidRDefault="00DD3DC9" w:rsidP="00295B25">
            <w:pPr>
              <w:rPr>
                <w:sz w:val="24"/>
                <w:szCs w:val="24"/>
              </w:rPr>
            </w:pPr>
          </w:p>
        </w:tc>
        <w:tc>
          <w:tcPr>
            <w:tcW w:w="1337" w:type="dxa"/>
          </w:tcPr>
          <w:p w:rsidR="005E2A67" w:rsidRPr="005E2A67" w:rsidRDefault="005E2A67"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t>8</w:t>
            </w:r>
          </w:p>
          <w:p w:rsidR="00FA0A60" w:rsidRDefault="00FA0A60" w:rsidP="00295B25">
            <w:pPr>
              <w:rPr>
                <w:sz w:val="24"/>
                <w:szCs w:val="24"/>
              </w:rPr>
            </w:pPr>
          </w:p>
          <w:p w:rsidR="00FA0A60" w:rsidRDefault="00FA0A60" w:rsidP="00295B25">
            <w:pPr>
              <w:rPr>
                <w:sz w:val="24"/>
                <w:szCs w:val="24"/>
              </w:rPr>
            </w:pPr>
            <w:r>
              <w:rPr>
                <w:sz w:val="24"/>
                <w:szCs w:val="24"/>
              </w:rPr>
              <w:t>8.1</w:t>
            </w:r>
          </w:p>
          <w:p w:rsidR="00FA0A60" w:rsidRDefault="00FA0A60" w:rsidP="00295B25">
            <w:pPr>
              <w:rPr>
                <w:sz w:val="24"/>
                <w:szCs w:val="24"/>
              </w:rPr>
            </w:pPr>
          </w:p>
          <w:p w:rsidR="00FA0A60" w:rsidRDefault="00FA0A60"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FA0A60" w:rsidRDefault="00FA0A60" w:rsidP="00295B25">
            <w:pPr>
              <w:rPr>
                <w:sz w:val="24"/>
                <w:szCs w:val="24"/>
              </w:rPr>
            </w:pPr>
            <w:r>
              <w:rPr>
                <w:sz w:val="24"/>
                <w:szCs w:val="24"/>
              </w:rPr>
              <w:t>8.2</w:t>
            </w:r>
          </w:p>
          <w:p w:rsidR="00DD3DC9" w:rsidRDefault="00DD3DC9" w:rsidP="00295B25">
            <w:pPr>
              <w:rPr>
                <w:sz w:val="24"/>
                <w:szCs w:val="24"/>
              </w:rPr>
            </w:pPr>
          </w:p>
          <w:p w:rsidR="00DD3DC9" w:rsidRDefault="00DD3DC9" w:rsidP="00295B25">
            <w:pPr>
              <w:rPr>
                <w:sz w:val="24"/>
                <w:szCs w:val="24"/>
              </w:rPr>
            </w:pPr>
          </w:p>
          <w:p w:rsidR="00DD3DC9" w:rsidRDefault="00DD3DC9" w:rsidP="00295B25">
            <w:pPr>
              <w:rPr>
                <w:sz w:val="24"/>
                <w:szCs w:val="24"/>
              </w:rPr>
            </w:pPr>
          </w:p>
          <w:p w:rsidR="004608F5" w:rsidRDefault="004608F5" w:rsidP="00295B25">
            <w:pPr>
              <w:rPr>
                <w:sz w:val="24"/>
                <w:szCs w:val="24"/>
              </w:rPr>
            </w:pPr>
          </w:p>
          <w:p w:rsidR="006B76AE" w:rsidRDefault="006B76AE" w:rsidP="00295B25">
            <w:pPr>
              <w:rPr>
                <w:sz w:val="24"/>
                <w:szCs w:val="24"/>
              </w:rPr>
            </w:pPr>
          </w:p>
          <w:p w:rsidR="006B76AE" w:rsidRDefault="006B76AE" w:rsidP="00295B25">
            <w:pPr>
              <w:rPr>
                <w:sz w:val="24"/>
                <w:szCs w:val="24"/>
              </w:rPr>
            </w:pPr>
          </w:p>
          <w:p w:rsidR="006B76AE" w:rsidRDefault="006B76AE" w:rsidP="00295B25">
            <w:pPr>
              <w:rPr>
                <w:sz w:val="24"/>
                <w:szCs w:val="24"/>
              </w:rPr>
            </w:pPr>
          </w:p>
          <w:p w:rsidR="006B76AE" w:rsidRDefault="006B76AE" w:rsidP="00295B25">
            <w:pPr>
              <w:rPr>
                <w:sz w:val="24"/>
                <w:szCs w:val="24"/>
              </w:rPr>
            </w:pPr>
          </w:p>
          <w:p w:rsidR="006B76AE" w:rsidRDefault="006B76AE" w:rsidP="00295B25">
            <w:pPr>
              <w:rPr>
                <w:sz w:val="24"/>
                <w:szCs w:val="24"/>
              </w:rPr>
            </w:pPr>
          </w:p>
          <w:p w:rsidR="006B76AE" w:rsidRDefault="006B76AE" w:rsidP="00295B25">
            <w:pPr>
              <w:rPr>
                <w:sz w:val="24"/>
                <w:szCs w:val="24"/>
              </w:rPr>
            </w:pPr>
          </w:p>
          <w:p w:rsidR="006B76AE" w:rsidRDefault="006B76AE" w:rsidP="00295B25">
            <w:pPr>
              <w:rPr>
                <w:sz w:val="24"/>
                <w:szCs w:val="24"/>
              </w:rPr>
            </w:pPr>
          </w:p>
          <w:p w:rsidR="006B76AE" w:rsidRDefault="006B76AE" w:rsidP="00295B25">
            <w:pPr>
              <w:rPr>
                <w:sz w:val="24"/>
                <w:szCs w:val="24"/>
              </w:rPr>
            </w:pPr>
          </w:p>
          <w:p w:rsidR="004327C4" w:rsidRDefault="004327C4" w:rsidP="00295B25">
            <w:pPr>
              <w:rPr>
                <w:sz w:val="24"/>
                <w:szCs w:val="24"/>
              </w:rPr>
            </w:pPr>
          </w:p>
          <w:p w:rsidR="004327C4" w:rsidRDefault="004327C4" w:rsidP="00295B25">
            <w:pPr>
              <w:rPr>
                <w:sz w:val="24"/>
                <w:szCs w:val="24"/>
              </w:rPr>
            </w:pPr>
          </w:p>
          <w:p w:rsidR="004327C4" w:rsidRDefault="004327C4" w:rsidP="00295B25">
            <w:pPr>
              <w:rPr>
                <w:sz w:val="24"/>
                <w:szCs w:val="24"/>
              </w:rPr>
            </w:pPr>
          </w:p>
          <w:p w:rsidR="006B76AE" w:rsidRDefault="006B76AE" w:rsidP="00295B25">
            <w:pPr>
              <w:rPr>
                <w:sz w:val="24"/>
                <w:szCs w:val="24"/>
              </w:rPr>
            </w:pPr>
          </w:p>
          <w:p w:rsidR="004327C4" w:rsidRDefault="004327C4" w:rsidP="00295B25">
            <w:pPr>
              <w:rPr>
                <w:sz w:val="24"/>
                <w:szCs w:val="24"/>
              </w:rPr>
            </w:pPr>
          </w:p>
          <w:p w:rsidR="004327C4" w:rsidRDefault="004327C4" w:rsidP="00295B25">
            <w:pPr>
              <w:rPr>
                <w:sz w:val="24"/>
                <w:szCs w:val="24"/>
              </w:rPr>
            </w:pPr>
          </w:p>
          <w:p w:rsidR="004327C4" w:rsidRDefault="004327C4" w:rsidP="00295B25">
            <w:pPr>
              <w:rPr>
                <w:sz w:val="24"/>
                <w:szCs w:val="24"/>
              </w:rPr>
            </w:pPr>
          </w:p>
          <w:p w:rsidR="00E310D9" w:rsidRDefault="00E310D9" w:rsidP="00295B25">
            <w:pPr>
              <w:rPr>
                <w:sz w:val="24"/>
                <w:szCs w:val="24"/>
              </w:rPr>
            </w:pPr>
          </w:p>
          <w:p w:rsidR="00E310D9" w:rsidRDefault="00E310D9" w:rsidP="00295B25">
            <w:pPr>
              <w:rPr>
                <w:sz w:val="24"/>
                <w:szCs w:val="24"/>
              </w:rPr>
            </w:pPr>
          </w:p>
          <w:p w:rsidR="00E310D9" w:rsidRDefault="00E310D9" w:rsidP="00295B25">
            <w:pPr>
              <w:rPr>
                <w:sz w:val="24"/>
                <w:szCs w:val="24"/>
              </w:rPr>
            </w:pPr>
          </w:p>
          <w:p w:rsidR="00E310D9" w:rsidRDefault="00E310D9" w:rsidP="00295B25">
            <w:pPr>
              <w:rPr>
                <w:sz w:val="24"/>
                <w:szCs w:val="24"/>
              </w:rPr>
            </w:pPr>
          </w:p>
          <w:p w:rsidR="00E310D9" w:rsidRDefault="00E310D9" w:rsidP="00295B25">
            <w:pPr>
              <w:rPr>
                <w:sz w:val="24"/>
                <w:szCs w:val="24"/>
              </w:rPr>
            </w:pPr>
          </w:p>
          <w:p w:rsidR="00E310D9" w:rsidRDefault="00E310D9" w:rsidP="00295B25">
            <w:pPr>
              <w:rPr>
                <w:sz w:val="24"/>
                <w:szCs w:val="24"/>
              </w:rPr>
            </w:pPr>
          </w:p>
          <w:p w:rsidR="00E310D9" w:rsidRDefault="00E310D9" w:rsidP="00295B25">
            <w:pPr>
              <w:rPr>
                <w:sz w:val="24"/>
                <w:szCs w:val="24"/>
              </w:rPr>
            </w:pPr>
          </w:p>
          <w:p w:rsidR="004327C4" w:rsidRDefault="004327C4" w:rsidP="00295B25">
            <w:pPr>
              <w:rPr>
                <w:sz w:val="24"/>
                <w:szCs w:val="24"/>
              </w:rPr>
            </w:pPr>
          </w:p>
          <w:p w:rsidR="004327C4" w:rsidRDefault="004327C4" w:rsidP="00295B25">
            <w:pPr>
              <w:rPr>
                <w:sz w:val="24"/>
                <w:szCs w:val="24"/>
              </w:rPr>
            </w:pPr>
          </w:p>
          <w:p w:rsidR="00E310D9" w:rsidRDefault="00E310D9" w:rsidP="00295B25">
            <w:pPr>
              <w:rPr>
                <w:sz w:val="24"/>
                <w:szCs w:val="24"/>
              </w:rPr>
            </w:pPr>
          </w:p>
          <w:p w:rsidR="00E310D9" w:rsidRDefault="00E310D9" w:rsidP="00295B25">
            <w:pPr>
              <w:rPr>
                <w:sz w:val="24"/>
                <w:szCs w:val="24"/>
              </w:rPr>
            </w:pPr>
          </w:p>
          <w:p w:rsidR="00E310D9" w:rsidRDefault="00E310D9" w:rsidP="00295B25">
            <w:pPr>
              <w:rPr>
                <w:sz w:val="24"/>
                <w:szCs w:val="24"/>
              </w:rPr>
            </w:pPr>
          </w:p>
          <w:p w:rsidR="004327C4" w:rsidRDefault="004327C4" w:rsidP="00295B25">
            <w:pPr>
              <w:rPr>
                <w:sz w:val="24"/>
                <w:szCs w:val="24"/>
              </w:rPr>
            </w:pPr>
          </w:p>
          <w:p w:rsidR="004327C4" w:rsidRDefault="004327C4" w:rsidP="00295B25">
            <w:pPr>
              <w:rPr>
                <w:sz w:val="24"/>
                <w:szCs w:val="24"/>
              </w:rPr>
            </w:pPr>
          </w:p>
          <w:p w:rsidR="00C5612C" w:rsidRDefault="00C5612C" w:rsidP="00295B25">
            <w:pPr>
              <w:rPr>
                <w:sz w:val="24"/>
                <w:szCs w:val="24"/>
              </w:rPr>
            </w:pPr>
            <w:bookmarkStart w:id="0" w:name="_GoBack"/>
            <w:bookmarkEnd w:id="0"/>
          </w:p>
          <w:p w:rsidR="00DD3DC9" w:rsidRDefault="00DD3DC9" w:rsidP="00295B25">
            <w:pPr>
              <w:rPr>
                <w:sz w:val="24"/>
                <w:szCs w:val="24"/>
              </w:rPr>
            </w:pPr>
            <w:r>
              <w:rPr>
                <w:sz w:val="24"/>
                <w:szCs w:val="24"/>
              </w:rPr>
              <w:t>8.3</w:t>
            </w:r>
          </w:p>
          <w:p w:rsidR="00FA0A60" w:rsidRPr="005E2A67" w:rsidRDefault="00FA0A60" w:rsidP="00295B25">
            <w:pPr>
              <w:rPr>
                <w:sz w:val="24"/>
                <w:szCs w:val="24"/>
              </w:rPr>
            </w:pPr>
          </w:p>
        </w:tc>
        <w:tc>
          <w:tcPr>
            <w:tcW w:w="7088" w:type="dxa"/>
          </w:tcPr>
          <w:p w:rsidR="005E2A67" w:rsidRDefault="00FA0A60" w:rsidP="00295B25">
            <w:pPr>
              <w:rPr>
                <w:b/>
                <w:sz w:val="24"/>
                <w:szCs w:val="24"/>
              </w:rPr>
            </w:pPr>
            <w:r>
              <w:rPr>
                <w:b/>
                <w:sz w:val="24"/>
                <w:szCs w:val="24"/>
              </w:rPr>
              <w:lastRenderedPageBreak/>
              <w:t>Performance and Appraisal Process</w:t>
            </w:r>
          </w:p>
          <w:p w:rsidR="00FA0A60" w:rsidRDefault="00FA0A60" w:rsidP="00295B25">
            <w:pPr>
              <w:rPr>
                <w:b/>
                <w:sz w:val="24"/>
                <w:szCs w:val="24"/>
              </w:rPr>
            </w:pPr>
          </w:p>
          <w:p w:rsidR="00866B25" w:rsidRDefault="00E97507" w:rsidP="00295B25">
            <w:pPr>
              <w:rPr>
                <w:sz w:val="24"/>
                <w:szCs w:val="24"/>
              </w:rPr>
            </w:pPr>
            <w:r>
              <w:rPr>
                <w:sz w:val="24"/>
                <w:szCs w:val="24"/>
              </w:rPr>
              <w:t xml:space="preserve">The Registrar confirmed that COIC had recently approved an amendment to the BTAS </w:t>
            </w:r>
            <w:r>
              <w:rPr>
                <w:i/>
                <w:sz w:val="24"/>
                <w:szCs w:val="24"/>
              </w:rPr>
              <w:t xml:space="preserve">Performance and Appraisal </w:t>
            </w:r>
            <w:r>
              <w:rPr>
                <w:sz w:val="24"/>
                <w:szCs w:val="24"/>
              </w:rPr>
              <w:t>policy. The effect of this was to revise the requirement for an appraisal from within 12-15 months following appointment, to being as soon as practicable after 12 months following appointment.</w:t>
            </w:r>
            <w:r w:rsidR="00866B25">
              <w:rPr>
                <w:sz w:val="24"/>
                <w:szCs w:val="24"/>
              </w:rPr>
              <w:t xml:space="preserve"> This was to ensure the policy was achievable and that there could be no concerns about the </w:t>
            </w:r>
            <w:r w:rsidR="00866B25">
              <w:rPr>
                <w:sz w:val="24"/>
                <w:szCs w:val="24"/>
              </w:rPr>
              <w:lastRenderedPageBreak/>
              <w:t xml:space="preserve">eligibility of Panel members and clerks to act. </w:t>
            </w:r>
          </w:p>
          <w:p w:rsidR="00866B25" w:rsidRDefault="00866B25" w:rsidP="00295B25">
            <w:pPr>
              <w:rPr>
                <w:sz w:val="24"/>
                <w:szCs w:val="24"/>
              </w:rPr>
            </w:pPr>
          </w:p>
          <w:p w:rsidR="00866B25" w:rsidRDefault="00866B25" w:rsidP="00295B25">
            <w:pPr>
              <w:rPr>
                <w:sz w:val="24"/>
                <w:szCs w:val="24"/>
              </w:rPr>
            </w:pPr>
            <w:r>
              <w:rPr>
                <w:sz w:val="24"/>
                <w:szCs w:val="24"/>
              </w:rPr>
              <w:t>The Board noted that the recent amendment should be considered an interim measure, and that COIC had requested the Board consider a wider review of the policy as a whole.</w:t>
            </w:r>
          </w:p>
          <w:p w:rsidR="00866B25" w:rsidRDefault="00866B25" w:rsidP="00295B25">
            <w:pPr>
              <w:rPr>
                <w:sz w:val="24"/>
                <w:szCs w:val="24"/>
              </w:rPr>
            </w:pPr>
          </w:p>
          <w:p w:rsidR="00D0657E" w:rsidRDefault="00866B25" w:rsidP="00295B25">
            <w:pPr>
              <w:rPr>
                <w:strike/>
                <w:sz w:val="24"/>
                <w:szCs w:val="24"/>
              </w:rPr>
            </w:pPr>
            <w:r>
              <w:rPr>
                <w:sz w:val="24"/>
                <w:szCs w:val="24"/>
              </w:rPr>
              <w:t>The Board agreed that any appraisal policy had to b</w:t>
            </w:r>
            <w:r w:rsidRPr="00D0657E">
              <w:rPr>
                <w:sz w:val="24"/>
                <w:szCs w:val="24"/>
              </w:rPr>
              <w:t xml:space="preserve">e </w:t>
            </w:r>
            <w:r w:rsidR="00AF63DF" w:rsidRPr="00D0657E">
              <w:rPr>
                <w:sz w:val="24"/>
                <w:szCs w:val="24"/>
              </w:rPr>
              <w:t xml:space="preserve">both rigorous and </w:t>
            </w:r>
            <w:r w:rsidRPr="00D0657E">
              <w:rPr>
                <w:sz w:val="24"/>
                <w:szCs w:val="24"/>
              </w:rPr>
              <w:t>p</w:t>
            </w:r>
            <w:r>
              <w:rPr>
                <w:sz w:val="24"/>
                <w:szCs w:val="24"/>
              </w:rPr>
              <w:t>roportionate</w:t>
            </w:r>
            <w:r w:rsidR="00D0657E">
              <w:rPr>
                <w:sz w:val="24"/>
                <w:szCs w:val="24"/>
              </w:rPr>
              <w:t>.</w:t>
            </w:r>
            <w:r>
              <w:rPr>
                <w:sz w:val="24"/>
                <w:szCs w:val="24"/>
              </w:rPr>
              <w:t xml:space="preserve"> </w:t>
            </w:r>
            <w:r w:rsidR="00AF63DF" w:rsidRPr="00D0657E">
              <w:rPr>
                <w:sz w:val="24"/>
                <w:szCs w:val="24"/>
              </w:rPr>
              <w:t>A</w:t>
            </w:r>
            <w:r w:rsidR="00AF63DF">
              <w:rPr>
                <w:color w:val="C00000"/>
                <w:sz w:val="24"/>
                <w:szCs w:val="24"/>
              </w:rPr>
              <w:t xml:space="preserve"> </w:t>
            </w:r>
            <w:r>
              <w:rPr>
                <w:sz w:val="24"/>
                <w:szCs w:val="24"/>
              </w:rPr>
              <w:t xml:space="preserve">key consideration in this was the frequency with which panel members and clerks acted, which in turn is a consequence not only of the number of hearings </w:t>
            </w:r>
            <w:r w:rsidR="006B76AE">
              <w:rPr>
                <w:sz w:val="24"/>
                <w:szCs w:val="24"/>
              </w:rPr>
              <w:t xml:space="preserve">taking place </w:t>
            </w:r>
            <w:r>
              <w:rPr>
                <w:sz w:val="24"/>
                <w:szCs w:val="24"/>
              </w:rPr>
              <w:t>each year, but the size of the disciplinary pool from which panellists are selected.</w:t>
            </w:r>
            <w:r w:rsidR="006B76AE">
              <w:rPr>
                <w:sz w:val="24"/>
                <w:szCs w:val="24"/>
              </w:rPr>
              <w:t xml:space="preserve"> Clearly it was unlikely to be </w:t>
            </w:r>
            <w:r w:rsidR="00E85175">
              <w:rPr>
                <w:sz w:val="24"/>
                <w:szCs w:val="24"/>
              </w:rPr>
              <w:t xml:space="preserve">very </w:t>
            </w:r>
            <w:r w:rsidR="006B76AE">
              <w:rPr>
                <w:sz w:val="24"/>
                <w:szCs w:val="24"/>
              </w:rPr>
              <w:t xml:space="preserve">appropriate </w:t>
            </w:r>
            <w:r w:rsidR="004327C4">
              <w:rPr>
                <w:sz w:val="24"/>
                <w:szCs w:val="24"/>
              </w:rPr>
              <w:t xml:space="preserve">or meaningful </w:t>
            </w:r>
            <w:r w:rsidR="006B76AE">
              <w:rPr>
                <w:sz w:val="24"/>
                <w:szCs w:val="24"/>
              </w:rPr>
              <w:t xml:space="preserve">to appraise a </w:t>
            </w:r>
            <w:r w:rsidR="00FD0228">
              <w:rPr>
                <w:sz w:val="24"/>
                <w:szCs w:val="24"/>
              </w:rPr>
              <w:t xml:space="preserve">tribunal </w:t>
            </w:r>
            <w:r w:rsidR="006B76AE">
              <w:rPr>
                <w:sz w:val="24"/>
                <w:szCs w:val="24"/>
              </w:rPr>
              <w:t xml:space="preserve">panellist if </w:t>
            </w:r>
            <w:r w:rsidR="00FD0228">
              <w:rPr>
                <w:sz w:val="24"/>
                <w:szCs w:val="24"/>
              </w:rPr>
              <w:t xml:space="preserve">they had only been </w:t>
            </w:r>
            <w:r w:rsidR="004327C4">
              <w:rPr>
                <w:sz w:val="24"/>
                <w:szCs w:val="24"/>
              </w:rPr>
              <w:t>involved in</w:t>
            </w:r>
            <w:r w:rsidR="006B76AE">
              <w:rPr>
                <w:sz w:val="24"/>
                <w:szCs w:val="24"/>
              </w:rPr>
              <w:t xml:space="preserve"> a very small number of hearings</w:t>
            </w:r>
            <w:r w:rsidR="00FD0228">
              <w:rPr>
                <w:sz w:val="24"/>
                <w:szCs w:val="24"/>
              </w:rPr>
              <w:t xml:space="preserve">, certainly without taking this lack of experience fully into account. This point was even more the case with regard to ICC Panellists, where </w:t>
            </w:r>
            <w:r w:rsidR="00FD0228" w:rsidRPr="00D0657E">
              <w:rPr>
                <w:sz w:val="24"/>
                <w:szCs w:val="24"/>
              </w:rPr>
              <w:t xml:space="preserve">hearings </w:t>
            </w:r>
            <w:r w:rsidR="004C624E" w:rsidRPr="00D0657E">
              <w:rPr>
                <w:sz w:val="24"/>
                <w:szCs w:val="24"/>
              </w:rPr>
              <w:t>were generally brief and so experience took longer to acquire.</w:t>
            </w:r>
          </w:p>
          <w:p w:rsidR="004327C4" w:rsidRDefault="00D0657E" w:rsidP="00295B25">
            <w:pPr>
              <w:rPr>
                <w:sz w:val="24"/>
                <w:szCs w:val="24"/>
              </w:rPr>
            </w:pPr>
            <w:r>
              <w:rPr>
                <w:sz w:val="24"/>
                <w:szCs w:val="24"/>
              </w:rPr>
              <w:t xml:space="preserve"> </w:t>
            </w:r>
          </w:p>
          <w:p w:rsidR="00E310D9" w:rsidRDefault="004327C4" w:rsidP="00295B25">
            <w:pPr>
              <w:rPr>
                <w:sz w:val="24"/>
                <w:szCs w:val="24"/>
              </w:rPr>
            </w:pPr>
            <w:r>
              <w:rPr>
                <w:sz w:val="24"/>
                <w:szCs w:val="24"/>
              </w:rPr>
              <w:t xml:space="preserve">The Board noted that not only were the timescales of the previous policy unachievable, its operational delivery (with appraisals held immediately following a hearing at which the </w:t>
            </w:r>
            <w:proofErr w:type="spellStart"/>
            <w:r>
              <w:rPr>
                <w:sz w:val="24"/>
                <w:szCs w:val="24"/>
              </w:rPr>
              <w:t>appraisee</w:t>
            </w:r>
            <w:proofErr w:type="spellEnd"/>
            <w:r>
              <w:rPr>
                <w:sz w:val="24"/>
                <w:szCs w:val="24"/>
              </w:rPr>
              <w:t xml:space="preserve"> had been observed) was potentially undesirable as it left no opportunity for reflection. It accordingly agreed to give the Registrar a mandate to review the policy, to ensure that it is reliable, valid and credible. This review should include consideration of data on the frequency of panellist</w:t>
            </w:r>
            <w:r w:rsidR="00E310D9">
              <w:rPr>
                <w:sz w:val="24"/>
                <w:szCs w:val="24"/>
              </w:rPr>
              <w:t xml:space="preserve"> activity, with any revised policy allowing for (i) review of past performance, (ii) identification of any learning and development needed, and (iii) comments about the future. Emir Feisal and Sheila Hollingworth offered to assist the Registrar in this review by acting as sounding-</w:t>
            </w:r>
            <w:r w:rsidR="00E310D9" w:rsidRPr="00D0657E">
              <w:rPr>
                <w:sz w:val="24"/>
                <w:szCs w:val="24"/>
              </w:rPr>
              <w:t>boards</w:t>
            </w:r>
            <w:r w:rsidR="003D4DF8" w:rsidRPr="00D0657E">
              <w:rPr>
                <w:sz w:val="24"/>
                <w:szCs w:val="24"/>
              </w:rPr>
              <w:t xml:space="preserve"> and sharing any relevant documentation they had access to from elsewhere</w:t>
            </w:r>
            <w:r w:rsidR="00E310D9">
              <w:rPr>
                <w:sz w:val="24"/>
                <w:szCs w:val="24"/>
              </w:rPr>
              <w:t>. (</w:t>
            </w:r>
            <w:r w:rsidR="00E310D9" w:rsidRPr="00E310D9">
              <w:rPr>
                <w:b/>
                <w:sz w:val="24"/>
                <w:szCs w:val="24"/>
              </w:rPr>
              <w:t>Action: AR, EF, SH</w:t>
            </w:r>
            <w:r w:rsidR="00E310D9">
              <w:rPr>
                <w:sz w:val="24"/>
                <w:szCs w:val="24"/>
              </w:rPr>
              <w:t>)</w:t>
            </w:r>
          </w:p>
          <w:p w:rsidR="00E310D9" w:rsidRDefault="00E310D9" w:rsidP="00295B25">
            <w:pPr>
              <w:rPr>
                <w:sz w:val="24"/>
                <w:szCs w:val="24"/>
              </w:rPr>
            </w:pPr>
          </w:p>
          <w:p w:rsidR="00E310D9" w:rsidRDefault="00E310D9" w:rsidP="00295B25">
            <w:pPr>
              <w:rPr>
                <w:b/>
                <w:sz w:val="24"/>
                <w:szCs w:val="24"/>
              </w:rPr>
            </w:pPr>
            <w:r>
              <w:rPr>
                <w:sz w:val="24"/>
                <w:szCs w:val="24"/>
              </w:rPr>
              <w:t>The Board also noted that changes to the size of the current disciplinary pool could not be contemplated until accurate monthly/quarterly forecasts on future hearings a</w:t>
            </w:r>
            <w:r w:rsidR="00E85175">
              <w:rPr>
                <w:sz w:val="24"/>
                <w:szCs w:val="24"/>
              </w:rPr>
              <w:t xml:space="preserve"> rolling</w:t>
            </w:r>
            <w:r>
              <w:rPr>
                <w:sz w:val="24"/>
                <w:szCs w:val="24"/>
              </w:rPr>
              <w:t xml:space="preserve"> calendar year ahead were being provided by the BSB to BTAS. (</w:t>
            </w:r>
            <w:r>
              <w:rPr>
                <w:b/>
                <w:sz w:val="24"/>
                <w:szCs w:val="24"/>
              </w:rPr>
              <w:t>Action: CC)</w:t>
            </w:r>
          </w:p>
          <w:p w:rsidR="004327C4" w:rsidRDefault="00E310D9" w:rsidP="00295B25">
            <w:pPr>
              <w:rPr>
                <w:sz w:val="24"/>
                <w:szCs w:val="24"/>
              </w:rPr>
            </w:pPr>
            <w:r>
              <w:rPr>
                <w:sz w:val="24"/>
                <w:szCs w:val="24"/>
              </w:rPr>
              <w:t xml:space="preserve">   </w:t>
            </w:r>
          </w:p>
          <w:p w:rsidR="00384732" w:rsidRDefault="00384732" w:rsidP="00DD3DC9">
            <w:pPr>
              <w:rPr>
                <w:sz w:val="24"/>
                <w:szCs w:val="24"/>
              </w:rPr>
            </w:pPr>
            <w:r>
              <w:rPr>
                <w:sz w:val="24"/>
                <w:szCs w:val="24"/>
              </w:rPr>
              <w:t>The Chair of the Disciplinary Tribunal Service outlined his proposals for conducting appraisals of Judicial Chairs of Hearing Panels. This took the form of meeting with them individually outside of the Hearing process to discuss 360° feedback they had received and recent judgements they had delivered.</w:t>
            </w:r>
          </w:p>
          <w:p w:rsidR="00384732" w:rsidRDefault="00384732" w:rsidP="00DD3DC9">
            <w:pPr>
              <w:rPr>
                <w:sz w:val="24"/>
                <w:szCs w:val="24"/>
              </w:rPr>
            </w:pPr>
          </w:p>
          <w:p w:rsidR="00F9460B" w:rsidRDefault="00384732" w:rsidP="00DD3DC9">
            <w:pPr>
              <w:rPr>
                <w:sz w:val="24"/>
                <w:szCs w:val="24"/>
              </w:rPr>
            </w:pPr>
            <w:r>
              <w:rPr>
                <w:sz w:val="24"/>
                <w:szCs w:val="24"/>
              </w:rPr>
              <w:t xml:space="preserve">After some discussion the Board agreed that it was not practical to have an element of direct observation as part of the Judicial Chairs appraisal, as unless the Chair of the DTS was an ordinary member of the Panel he could not be present during their deliberations, but conversely if he was this would have the potential to alter the </w:t>
            </w:r>
            <w:r>
              <w:rPr>
                <w:sz w:val="24"/>
                <w:szCs w:val="24"/>
              </w:rPr>
              <w:lastRenderedPageBreak/>
              <w:t xml:space="preserve">dynamic of the Hearing and the performance of the Judicial Chair. </w:t>
            </w:r>
          </w:p>
          <w:p w:rsidR="00F9460B" w:rsidRDefault="00F9460B" w:rsidP="00DD3DC9">
            <w:pPr>
              <w:rPr>
                <w:sz w:val="24"/>
                <w:szCs w:val="24"/>
              </w:rPr>
            </w:pPr>
          </w:p>
          <w:p w:rsidR="00FA0A60" w:rsidRDefault="00F9460B" w:rsidP="00DD3DC9">
            <w:pPr>
              <w:rPr>
                <w:sz w:val="24"/>
                <w:szCs w:val="24"/>
              </w:rPr>
            </w:pPr>
            <w:r>
              <w:rPr>
                <w:sz w:val="24"/>
                <w:szCs w:val="24"/>
              </w:rPr>
              <w:t>It was agreed that the 360° feedback would be vital, and that consideration should be given to anonymising these to encourage full and frank completion. Similarly, Judicial Chairs must not ask Panel Members who they were themselves appraising for feedback on their own performance.</w:t>
            </w:r>
          </w:p>
          <w:p w:rsidR="00F9460B" w:rsidRDefault="00F9460B" w:rsidP="00DD3DC9">
            <w:pPr>
              <w:rPr>
                <w:sz w:val="24"/>
                <w:szCs w:val="24"/>
              </w:rPr>
            </w:pPr>
          </w:p>
          <w:p w:rsidR="00F9460B" w:rsidRPr="00F9460B" w:rsidRDefault="00F9460B" w:rsidP="00DD3DC9">
            <w:pPr>
              <w:rPr>
                <w:b/>
                <w:sz w:val="24"/>
                <w:szCs w:val="24"/>
              </w:rPr>
            </w:pPr>
            <w:r>
              <w:rPr>
                <w:sz w:val="24"/>
                <w:szCs w:val="24"/>
              </w:rPr>
              <w:t>The Board agreed to proceed on this basis</w:t>
            </w:r>
            <w:r w:rsidR="00E85175">
              <w:rPr>
                <w:sz w:val="24"/>
                <w:szCs w:val="24"/>
              </w:rPr>
              <w:t xml:space="preserve"> without delay</w:t>
            </w:r>
            <w:r>
              <w:rPr>
                <w:sz w:val="24"/>
                <w:szCs w:val="24"/>
              </w:rPr>
              <w:t>, and would then review its success after the first round has been completed this year. (</w:t>
            </w:r>
            <w:r>
              <w:rPr>
                <w:b/>
                <w:sz w:val="24"/>
                <w:szCs w:val="24"/>
              </w:rPr>
              <w:t>Action AR, SS)</w:t>
            </w:r>
          </w:p>
          <w:p w:rsidR="00DD3DC9" w:rsidRPr="00FA0A60" w:rsidRDefault="00DD3DC9" w:rsidP="00DD3DC9">
            <w:pPr>
              <w:rPr>
                <w:sz w:val="24"/>
                <w:szCs w:val="24"/>
              </w:rPr>
            </w:pPr>
          </w:p>
        </w:tc>
        <w:tc>
          <w:tcPr>
            <w:tcW w:w="1337" w:type="dxa"/>
          </w:tcPr>
          <w:p w:rsidR="005E2A67" w:rsidRDefault="005E2A67" w:rsidP="00295B25">
            <w:pPr>
              <w:rPr>
                <w:sz w:val="24"/>
                <w:szCs w:val="24"/>
              </w:rPr>
            </w:pPr>
          </w:p>
          <w:p w:rsidR="00DD3DC9" w:rsidRDefault="00DD3DC9" w:rsidP="00295B25">
            <w:pPr>
              <w:rPr>
                <w:sz w:val="24"/>
                <w:szCs w:val="24"/>
              </w:rPr>
            </w:pPr>
          </w:p>
          <w:p w:rsidR="00DD3DC9" w:rsidRDefault="00DD3DC9" w:rsidP="00295B25">
            <w:pPr>
              <w:rPr>
                <w:sz w:val="24"/>
                <w:szCs w:val="24"/>
              </w:rPr>
            </w:pPr>
            <w:r>
              <w:rPr>
                <w:sz w:val="24"/>
                <w:szCs w:val="24"/>
              </w:rPr>
              <w:t>Annex E</w:t>
            </w:r>
          </w:p>
          <w:p w:rsidR="00DD3DC9" w:rsidRDefault="00DD3DC9"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866B25" w:rsidRDefault="00866B25" w:rsidP="00295B25">
            <w:pPr>
              <w:rPr>
                <w:sz w:val="24"/>
                <w:szCs w:val="24"/>
              </w:rPr>
            </w:pPr>
          </w:p>
          <w:p w:rsidR="00DD3DC9" w:rsidRDefault="00DD3DC9" w:rsidP="00295B25">
            <w:pPr>
              <w:rPr>
                <w:sz w:val="24"/>
                <w:szCs w:val="24"/>
              </w:rPr>
            </w:pPr>
          </w:p>
          <w:p w:rsidR="00DD3DC9" w:rsidRPr="005E2A67" w:rsidRDefault="00DD3DC9" w:rsidP="00295B25">
            <w:pPr>
              <w:rPr>
                <w:sz w:val="24"/>
                <w:szCs w:val="24"/>
              </w:rPr>
            </w:pPr>
            <w:r>
              <w:rPr>
                <w:sz w:val="24"/>
                <w:szCs w:val="24"/>
              </w:rPr>
              <w:t>Annex F</w:t>
            </w:r>
          </w:p>
        </w:tc>
      </w:tr>
      <w:tr w:rsidR="00FA0A60" w:rsidTr="00F77D29">
        <w:trPr>
          <w:trHeight w:val="567"/>
        </w:trPr>
        <w:tc>
          <w:tcPr>
            <w:tcW w:w="817" w:type="dxa"/>
          </w:tcPr>
          <w:p w:rsidR="00FA0A60" w:rsidRPr="005E2A67" w:rsidRDefault="00FA0A60" w:rsidP="00295B25">
            <w:pPr>
              <w:rPr>
                <w:sz w:val="24"/>
                <w:szCs w:val="24"/>
              </w:rPr>
            </w:pPr>
            <w:r>
              <w:rPr>
                <w:sz w:val="24"/>
                <w:szCs w:val="24"/>
              </w:rPr>
              <w:lastRenderedPageBreak/>
              <w:t>9</w:t>
            </w:r>
          </w:p>
        </w:tc>
        <w:tc>
          <w:tcPr>
            <w:tcW w:w="7088" w:type="dxa"/>
          </w:tcPr>
          <w:p w:rsidR="00FA0A60" w:rsidRDefault="00FA0A60" w:rsidP="00295B25">
            <w:pPr>
              <w:rPr>
                <w:b/>
                <w:sz w:val="24"/>
                <w:szCs w:val="24"/>
              </w:rPr>
            </w:pPr>
            <w:r>
              <w:rPr>
                <w:b/>
                <w:sz w:val="24"/>
                <w:szCs w:val="24"/>
              </w:rPr>
              <w:t>Dates of Future Meetings</w:t>
            </w:r>
          </w:p>
          <w:p w:rsidR="00F9460B" w:rsidRDefault="00F9460B" w:rsidP="00295B25">
            <w:pPr>
              <w:rPr>
                <w:b/>
                <w:sz w:val="24"/>
                <w:szCs w:val="24"/>
              </w:rPr>
            </w:pPr>
          </w:p>
          <w:p w:rsidR="00F9460B" w:rsidRDefault="00F9460B" w:rsidP="00295B25">
            <w:pPr>
              <w:rPr>
                <w:sz w:val="24"/>
                <w:szCs w:val="24"/>
              </w:rPr>
            </w:pPr>
            <w:r w:rsidRPr="00F9460B">
              <w:rPr>
                <w:sz w:val="24"/>
                <w:szCs w:val="24"/>
              </w:rPr>
              <w:t>The Board</w:t>
            </w:r>
            <w:r>
              <w:rPr>
                <w:sz w:val="24"/>
                <w:szCs w:val="24"/>
              </w:rPr>
              <w:t xml:space="preserve"> agreed that its final quarterly meeting in 2014 should take place in early December, and the Registrar should confirm this date and identify provisional dates for 2015 as soon as possible. (</w:t>
            </w:r>
            <w:r>
              <w:rPr>
                <w:b/>
                <w:sz w:val="24"/>
                <w:szCs w:val="24"/>
              </w:rPr>
              <w:t>Action: AR)</w:t>
            </w:r>
            <w:r>
              <w:rPr>
                <w:sz w:val="24"/>
                <w:szCs w:val="24"/>
              </w:rPr>
              <w:t xml:space="preserve"> </w:t>
            </w:r>
          </w:p>
          <w:p w:rsidR="00F9460B" w:rsidRPr="00F9460B" w:rsidRDefault="00F9460B" w:rsidP="00295B25">
            <w:pPr>
              <w:rPr>
                <w:sz w:val="24"/>
                <w:szCs w:val="24"/>
              </w:rPr>
            </w:pPr>
          </w:p>
        </w:tc>
        <w:tc>
          <w:tcPr>
            <w:tcW w:w="1337" w:type="dxa"/>
          </w:tcPr>
          <w:p w:rsidR="00FA0A60" w:rsidRPr="005E2A67" w:rsidRDefault="00FA0A60" w:rsidP="00295B25">
            <w:pPr>
              <w:rPr>
                <w:sz w:val="24"/>
                <w:szCs w:val="24"/>
              </w:rPr>
            </w:pPr>
          </w:p>
        </w:tc>
      </w:tr>
      <w:tr w:rsidR="005E2A67" w:rsidTr="00F77D29">
        <w:trPr>
          <w:trHeight w:val="567"/>
        </w:trPr>
        <w:tc>
          <w:tcPr>
            <w:tcW w:w="817" w:type="dxa"/>
          </w:tcPr>
          <w:p w:rsidR="005E2A67" w:rsidRPr="00FA0A60" w:rsidRDefault="00FA0A60" w:rsidP="00295B25">
            <w:pPr>
              <w:rPr>
                <w:sz w:val="24"/>
                <w:szCs w:val="24"/>
              </w:rPr>
            </w:pPr>
            <w:r>
              <w:rPr>
                <w:sz w:val="24"/>
                <w:szCs w:val="24"/>
              </w:rPr>
              <w:t>10</w:t>
            </w:r>
          </w:p>
        </w:tc>
        <w:tc>
          <w:tcPr>
            <w:tcW w:w="7088" w:type="dxa"/>
          </w:tcPr>
          <w:p w:rsidR="005E2A67" w:rsidRDefault="0042272E" w:rsidP="00295B25">
            <w:pPr>
              <w:rPr>
                <w:b/>
                <w:sz w:val="24"/>
                <w:szCs w:val="24"/>
              </w:rPr>
            </w:pPr>
            <w:r w:rsidRPr="00FA0A60">
              <w:rPr>
                <w:b/>
                <w:sz w:val="24"/>
                <w:szCs w:val="24"/>
              </w:rPr>
              <w:t>Any Other Business</w:t>
            </w:r>
          </w:p>
          <w:p w:rsidR="00F9460B" w:rsidRDefault="00F9460B" w:rsidP="00295B25">
            <w:pPr>
              <w:rPr>
                <w:b/>
                <w:sz w:val="24"/>
                <w:szCs w:val="24"/>
              </w:rPr>
            </w:pPr>
          </w:p>
          <w:p w:rsidR="00F9460B" w:rsidRPr="00F9460B" w:rsidRDefault="00F9460B" w:rsidP="00295B25">
            <w:pPr>
              <w:rPr>
                <w:sz w:val="24"/>
                <w:szCs w:val="24"/>
              </w:rPr>
            </w:pPr>
            <w:r w:rsidRPr="00F9460B">
              <w:rPr>
                <w:sz w:val="24"/>
                <w:szCs w:val="24"/>
              </w:rPr>
              <w:t>None</w:t>
            </w:r>
          </w:p>
        </w:tc>
        <w:tc>
          <w:tcPr>
            <w:tcW w:w="1337" w:type="dxa"/>
          </w:tcPr>
          <w:p w:rsidR="005E2A67" w:rsidRPr="005E2A67" w:rsidRDefault="005E2A67" w:rsidP="00295B25">
            <w:pPr>
              <w:rPr>
                <w:sz w:val="24"/>
                <w:szCs w:val="24"/>
              </w:rPr>
            </w:pPr>
          </w:p>
        </w:tc>
      </w:tr>
    </w:tbl>
    <w:p w:rsidR="005E2A67" w:rsidRPr="005E2A67" w:rsidRDefault="005E2A67" w:rsidP="00DD3DC9">
      <w:pPr>
        <w:rPr>
          <w:b/>
          <w:sz w:val="24"/>
          <w:szCs w:val="24"/>
        </w:rPr>
      </w:pPr>
    </w:p>
    <w:sectPr w:rsidR="005E2A67" w:rsidRPr="005E2A67" w:rsidSect="00DD3DC9">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50" w:rsidRDefault="003E7F50" w:rsidP="00C0170B">
      <w:pPr>
        <w:spacing w:after="0" w:line="240" w:lineRule="auto"/>
      </w:pPr>
      <w:r>
        <w:separator/>
      </w:r>
    </w:p>
  </w:endnote>
  <w:endnote w:type="continuationSeparator" w:id="0">
    <w:p w:rsidR="003E7F50" w:rsidRDefault="003E7F50" w:rsidP="00C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6552"/>
      <w:docPartObj>
        <w:docPartGallery w:val="Page Numbers (Bottom of Page)"/>
        <w:docPartUnique/>
      </w:docPartObj>
    </w:sdtPr>
    <w:sdtEndPr>
      <w:rPr>
        <w:noProof/>
      </w:rPr>
    </w:sdtEndPr>
    <w:sdtContent>
      <w:p w:rsidR="00C0170B" w:rsidRDefault="00C0170B">
        <w:pPr>
          <w:pStyle w:val="Footer"/>
          <w:jc w:val="center"/>
        </w:pPr>
        <w:r>
          <w:fldChar w:fldCharType="begin"/>
        </w:r>
        <w:r>
          <w:instrText xml:space="preserve"> PAGE   \* MERGEFORMAT </w:instrText>
        </w:r>
        <w:r>
          <w:fldChar w:fldCharType="separate"/>
        </w:r>
        <w:r w:rsidR="00C5612C">
          <w:rPr>
            <w:noProof/>
          </w:rPr>
          <w:t>6</w:t>
        </w:r>
        <w:r>
          <w:rPr>
            <w:noProof/>
          </w:rPr>
          <w:fldChar w:fldCharType="end"/>
        </w:r>
      </w:p>
    </w:sdtContent>
  </w:sdt>
  <w:p w:rsidR="00C0170B" w:rsidRDefault="00C01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50" w:rsidRDefault="003E7F50" w:rsidP="00C0170B">
      <w:pPr>
        <w:spacing w:after="0" w:line="240" w:lineRule="auto"/>
      </w:pPr>
      <w:r>
        <w:separator/>
      </w:r>
    </w:p>
  </w:footnote>
  <w:footnote w:type="continuationSeparator" w:id="0">
    <w:p w:rsidR="003E7F50" w:rsidRDefault="003E7F50" w:rsidP="00C01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F44FD"/>
    <w:multiLevelType w:val="hybridMultilevel"/>
    <w:tmpl w:val="AC7A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E194321"/>
    <w:multiLevelType w:val="hybridMultilevel"/>
    <w:tmpl w:val="27067F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81E72D3"/>
    <w:multiLevelType w:val="hybridMultilevel"/>
    <w:tmpl w:val="5EFA28A8"/>
    <w:lvl w:ilvl="0" w:tplc="F1586F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67"/>
    <w:rsid w:val="00017A6A"/>
    <w:rsid w:val="00055DB1"/>
    <w:rsid w:val="001609B3"/>
    <w:rsid w:val="001D28F0"/>
    <w:rsid w:val="001D44CD"/>
    <w:rsid w:val="00220C72"/>
    <w:rsid w:val="00295B25"/>
    <w:rsid w:val="002A1920"/>
    <w:rsid w:val="002F0A41"/>
    <w:rsid w:val="0034661E"/>
    <w:rsid w:val="003674B5"/>
    <w:rsid w:val="00384732"/>
    <w:rsid w:val="003D4DF8"/>
    <w:rsid w:val="003E7F50"/>
    <w:rsid w:val="00405FD9"/>
    <w:rsid w:val="0042272E"/>
    <w:rsid w:val="004327C4"/>
    <w:rsid w:val="004608F5"/>
    <w:rsid w:val="00482183"/>
    <w:rsid w:val="004C624E"/>
    <w:rsid w:val="004E7964"/>
    <w:rsid w:val="0050045C"/>
    <w:rsid w:val="00552C83"/>
    <w:rsid w:val="005E2A67"/>
    <w:rsid w:val="005F14A1"/>
    <w:rsid w:val="006014EC"/>
    <w:rsid w:val="00671B36"/>
    <w:rsid w:val="006A65FB"/>
    <w:rsid w:val="006B76AE"/>
    <w:rsid w:val="00734D50"/>
    <w:rsid w:val="007B3D02"/>
    <w:rsid w:val="008001C3"/>
    <w:rsid w:val="00866B25"/>
    <w:rsid w:val="00876A94"/>
    <w:rsid w:val="00930DB1"/>
    <w:rsid w:val="009D313A"/>
    <w:rsid w:val="009D374F"/>
    <w:rsid w:val="00A44D03"/>
    <w:rsid w:val="00A47ECB"/>
    <w:rsid w:val="00AE5D93"/>
    <w:rsid w:val="00AF63DF"/>
    <w:rsid w:val="00B24564"/>
    <w:rsid w:val="00B62673"/>
    <w:rsid w:val="00B948CB"/>
    <w:rsid w:val="00BE585C"/>
    <w:rsid w:val="00C0170B"/>
    <w:rsid w:val="00C5612C"/>
    <w:rsid w:val="00C8353F"/>
    <w:rsid w:val="00CF73B8"/>
    <w:rsid w:val="00D008BB"/>
    <w:rsid w:val="00D0657E"/>
    <w:rsid w:val="00D24FFD"/>
    <w:rsid w:val="00DD3DC9"/>
    <w:rsid w:val="00E310D9"/>
    <w:rsid w:val="00E34A60"/>
    <w:rsid w:val="00E6165E"/>
    <w:rsid w:val="00E85175"/>
    <w:rsid w:val="00E9292C"/>
    <w:rsid w:val="00E97507"/>
    <w:rsid w:val="00EC617B"/>
    <w:rsid w:val="00EF16BF"/>
    <w:rsid w:val="00F62A2B"/>
    <w:rsid w:val="00F77D29"/>
    <w:rsid w:val="00F9460B"/>
    <w:rsid w:val="00F95599"/>
    <w:rsid w:val="00FA0A60"/>
    <w:rsid w:val="00FC12E7"/>
    <w:rsid w:val="00FD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Russell</dc:creator>
  <cp:lastModifiedBy>Andy Russell</cp:lastModifiedBy>
  <cp:revision>4</cp:revision>
  <cp:lastPrinted>2014-07-15T13:26:00Z</cp:lastPrinted>
  <dcterms:created xsi:type="dcterms:W3CDTF">2014-07-18T08:13:00Z</dcterms:created>
  <dcterms:modified xsi:type="dcterms:W3CDTF">2014-07-18T08:36:00Z</dcterms:modified>
</cp:coreProperties>
</file>