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FD9" w:rsidRDefault="005E2A67" w:rsidP="005E2A67">
      <w:pPr>
        <w:jc w:val="center"/>
      </w:pPr>
      <w:r>
        <w:rPr>
          <w:noProof/>
          <w:lang w:eastAsia="en-GB"/>
        </w:rPr>
        <w:drawing>
          <wp:inline distT="0" distB="0" distL="0" distR="0" wp14:anchorId="45A750E5" wp14:editId="3ED74AD7">
            <wp:extent cx="2030095" cy="57594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b="16942"/>
                    <a:stretch>
                      <a:fillRect/>
                    </a:stretch>
                  </pic:blipFill>
                  <pic:spPr bwMode="auto">
                    <a:xfrm>
                      <a:off x="0" y="0"/>
                      <a:ext cx="2030095" cy="575945"/>
                    </a:xfrm>
                    <a:prstGeom prst="rect">
                      <a:avLst/>
                    </a:prstGeom>
                    <a:noFill/>
                  </pic:spPr>
                </pic:pic>
              </a:graphicData>
            </a:graphic>
          </wp:inline>
        </w:drawing>
      </w:r>
    </w:p>
    <w:p w:rsidR="005E2A67" w:rsidRDefault="005E2A67" w:rsidP="005E2A67">
      <w:pPr>
        <w:jc w:val="center"/>
      </w:pPr>
      <w:r>
        <w:t>The Council of the Inns of Court</w:t>
      </w:r>
    </w:p>
    <w:p w:rsidR="005E2A67" w:rsidRDefault="005E2A67" w:rsidP="005E2A67">
      <w:pPr>
        <w:jc w:val="center"/>
      </w:pPr>
    </w:p>
    <w:p w:rsidR="005E2A67" w:rsidRDefault="005E2A67" w:rsidP="005E2A67">
      <w:pPr>
        <w:jc w:val="center"/>
        <w:rPr>
          <w:b/>
          <w:sz w:val="32"/>
          <w:szCs w:val="32"/>
        </w:rPr>
      </w:pPr>
      <w:r>
        <w:rPr>
          <w:b/>
          <w:sz w:val="32"/>
          <w:szCs w:val="32"/>
        </w:rPr>
        <w:t>The Bar Tribunals &amp; Adjudication Service</w:t>
      </w:r>
    </w:p>
    <w:p w:rsidR="005E2A67" w:rsidRDefault="00EF16BF" w:rsidP="005E2A67">
      <w:pPr>
        <w:jc w:val="center"/>
        <w:rPr>
          <w:b/>
          <w:sz w:val="32"/>
          <w:szCs w:val="32"/>
        </w:rPr>
      </w:pPr>
      <w:r>
        <w:rPr>
          <w:b/>
          <w:sz w:val="32"/>
          <w:szCs w:val="32"/>
        </w:rPr>
        <w:t xml:space="preserve">MINUTES OF THE </w:t>
      </w:r>
      <w:r w:rsidR="005E2A67">
        <w:rPr>
          <w:b/>
          <w:sz w:val="32"/>
          <w:szCs w:val="32"/>
        </w:rPr>
        <w:t>STRATEGIC ADVISORY BOARD MEETING</w:t>
      </w:r>
    </w:p>
    <w:p w:rsidR="005E2A67" w:rsidRPr="005E2A67" w:rsidRDefault="007364DA" w:rsidP="005E2A67">
      <w:pPr>
        <w:jc w:val="center"/>
        <w:rPr>
          <w:b/>
          <w:sz w:val="28"/>
          <w:szCs w:val="28"/>
        </w:rPr>
      </w:pPr>
      <w:r>
        <w:rPr>
          <w:b/>
          <w:sz w:val="28"/>
          <w:szCs w:val="28"/>
        </w:rPr>
        <w:t>Thursday 4</w:t>
      </w:r>
      <w:r w:rsidRPr="007364DA">
        <w:rPr>
          <w:b/>
          <w:sz w:val="28"/>
          <w:szCs w:val="28"/>
          <w:vertAlign w:val="superscript"/>
        </w:rPr>
        <w:t>th</w:t>
      </w:r>
      <w:r>
        <w:rPr>
          <w:b/>
          <w:sz w:val="28"/>
          <w:szCs w:val="28"/>
        </w:rPr>
        <w:t xml:space="preserve"> December</w:t>
      </w:r>
      <w:r w:rsidR="005E2A67" w:rsidRPr="005E2A67">
        <w:rPr>
          <w:b/>
          <w:sz w:val="28"/>
          <w:szCs w:val="28"/>
        </w:rPr>
        <w:t xml:space="preserve"> 2014</w:t>
      </w:r>
      <w:r w:rsidR="005E2A67">
        <w:rPr>
          <w:b/>
          <w:sz w:val="28"/>
          <w:szCs w:val="28"/>
        </w:rPr>
        <w:t xml:space="preserve"> </w:t>
      </w:r>
    </w:p>
    <w:p w:rsidR="005E2A67" w:rsidRDefault="005E2A67" w:rsidP="005E2A67">
      <w:pPr>
        <w:jc w:val="center"/>
      </w:pPr>
      <w:r>
        <w:t>The Tribunal Suite, 9 Gray’s Inn Square, WC1R 5JF</w:t>
      </w:r>
    </w:p>
    <w:p w:rsidR="005E2A67" w:rsidRDefault="005E2A67" w:rsidP="005E2A67">
      <w:pPr>
        <w:jc w:val="center"/>
      </w:pPr>
    </w:p>
    <w:p w:rsidR="005E2A67" w:rsidRDefault="005E2A67" w:rsidP="005E2A67">
      <w:pPr>
        <w:jc w:val="center"/>
        <w:rPr>
          <w:b/>
          <w:sz w:val="24"/>
          <w:szCs w:val="24"/>
        </w:rPr>
      </w:pPr>
    </w:p>
    <w:tbl>
      <w:tblPr>
        <w:tblStyle w:val="TableGrid"/>
        <w:tblW w:w="0" w:type="auto"/>
        <w:tblLook w:val="04A0" w:firstRow="1" w:lastRow="0" w:firstColumn="1" w:lastColumn="0" w:noHBand="0" w:noVBand="1"/>
      </w:tblPr>
      <w:tblGrid>
        <w:gridCol w:w="817"/>
        <w:gridCol w:w="7088"/>
        <w:gridCol w:w="1337"/>
      </w:tblGrid>
      <w:tr w:rsidR="005E2A67" w:rsidRPr="00F77D29" w:rsidTr="00F77D29">
        <w:trPr>
          <w:trHeight w:val="567"/>
        </w:trPr>
        <w:tc>
          <w:tcPr>
            <w:tcW w:w="817" w:type="dxa"/>
          </w:tcPr>
          <w:p w:rsidR="005E2A67" w:rsidRDefault="005E2A67" w:rsidP="00295B25">
            <w:pPr>
              <w:rPr>
                <w:sz w:val="24"/>
                <w:szCs w:val="24"/>
              </w:rPr>
            </w:pPr>
            <w:r w:rsidRPr="00F77D29">
              <w:rPr>
                <w:sz w:val="24"/>
                <w:szCs w:val="24"/>
              </w:rPr>
              <w:t>1</w:t>
            </w: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r>
              <w:rPr>
                <w:sz w:val="24"/>
                <w:szCs w:val="24"/>
              </w:rPr>
              <w:t>1.1</w:t>
            </w: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214421" w:rsidRDefault="00214421" w:rsidP="00295B25">
            <w:pPr>
              <w:rPr>
                <w:sz w:val="24"/>
                <w:szCs w:val="24"/>
              </w:rPr>
            </w:pPr>
          </w:p>
          <w:p w:rsidR="00214421" w:rsidRDefault="00214421" w:rsidP="00295B25">
            <w:pPr>
              <w:rPr>
                <w:sz w:val="24"/>
                <w:szCs w:val="24"/>
              </w:rPr>
            </w:pPr>
          </w:p>
          <w:p w:rsidR="00EC617B" w:rsidRPr="00F77D29" w:rsidRDefault="00EC617B" w:rsidP="00214421">
            <w:pPr>
              <w:rPr>
                <w:sz w:val="24"/>
                <w:szCs w:val="24"/>
              </w:rPr>
            </w:pPr>
          </w:p>
        </w:tc>
        <w:tc>
          <w:tcPr>
            <w:tcW w:w="7088" w:type="dxa"/>
          </w:tcPr>
          <w:p w:rsidR="002F0A41" w:rsidRDefault="002F0A41" w:rsidP="00295B25">
            <w:pPr>
              <w:rPr>
                <w:b/>
                <w:i/>
                <w:sz w:val="24"/>
                <w:szCs w:val="24"/>
              </w:rPr>
            </w:pPr>
            <w:r w:rsidRPr="002F0A41">
              <w:rPr>
                <w:b/>
                <w:i/>
                <w:sz w:val="24"/>
                <w:szCs w:val="24"/>
              </w:rPr>
              <w:t xml:space="preserve">Present: </w:t>
            </w:r>
          </w:p>
          <w:p w:rsidR="002F0A41" w:rsidRDefault="002F0A41" w:rsidP="00295B25">
            <w:pPr>
              <w:rPr>
                <w:i/>
                <w:sz w:val="24"/>
                <w:szCs w:val="24"/>
              </w:rPr>
            </w:pPr>
            <w:r>
              <w:rPr>
                <w:i/>
                <w:sz w:val="24"/>
                <w:szCs w:val="24"/>
              </w:rPr>
              <w:t>Clare Dodgson</w:t>
            </w:r>
            <w:r>
              <w:rPr>
                <w:i/>
                <w:sz w:val="24"/>
                <w:szCs w:val="24"/>
              </w:rPr>
              <w:tab/>
            </w:r>
            <w:r>
              <w:rPr>
                <w:i/>
                <w:sz w:val="24"/>
                <w:szCs w:val="24"/>
              </w:rPr>
              <w:tab/>
              <w:t>Chair</w:t>
            </w:r>
            <w:r w:rsidR="004E7964">
              <w:rPr>
                <w:i/>
                <w:sz w:val="24"/>
                <w:szCs w:val="24"/>
              </w:rPr>
              <w:t xml:space="preserve"> of SAB and Lay Representative</w:t>
            </w:r>
            <w:r>
              <w:rPr>
                <w:i/>
                <w:sz w:val="24"/>
                <w:szCs w:val="24"/>
              </w:rPr>
              <w:t xml:space="preserve"> </w:t>
            </w:r>
          </w:p>
          <w:p w:rsidR="0034661E" w:rsidRDefault="002F0A41" w:rsidP="00295B25">
            <w:pPr>
              <w:rPr>
                <w:i/>
                <w:sz w:val="24"/>
                <w:szCs w:val="24"/>
              </w:rPr>
            </w:pPr>
            <w:r w:rsidRPr="002F0A41">
              <w:rPr>
                <w:i/>
                <w:sz w:val="24"/>
                <w:szCs w:val="24"/>
              </w:rPr>
              <w:t>Vanessa Davie</w:t>
            </w:r>
            <w:r w:rsidR="0034661E">
              <w:rPr>
                <w:i/>
                <w:sz w:val="24"/>
                <w:szCs w:val="24"/>
              </w:rPr>
              <w:t>s</w:t>
            </w:r>
            <w:r w:rsidR="0034661E">
              <w:rPr>
                <w:i/>
                <w:sz w:val="24"/>
                <w:szCs w:val="24"/>
              </w:rPr>
              <w:tab/>
              <w:t>Director</w:t>
            </w:r>
            <w:r w:rsidR="00ED2639">
              <w:rPr>
                <w:i/>
                <w:sz w:val="24"/>
                <w:szCs w:val="24"/>
              </w:rPr>
              <w:t xml:space="preserve"> General</w:t>
            </w:r>
            <w:r w:rsidR="0034661E">
              <w:rPr>
                <w:i/>
                <w:sz w:val="24"/>
                <w:szCs w:val="24"/>
              </w:rPr>
              <w:t>,  Bar Standards Board</w:t>
            </w:r>
            <w:r w:rsidRPr="002F0A41">
              <w:rPr>
                <w:i/>
                <w:sz w:val="24"/>
                <w:szCs w:val="24"/>
              </w:rPr>
              <w:t xml:space="preserve"> </w:t>
            </w:r>
          </w:p>
          <w:p w:rsidR="0034661E" w:rsidRDefault="002F0A41" w:rsidP="00295B25">
            <w:pPr>
              <w:rPr>
                <w:i/>
                <w:sz w:val="24"/>
                <w:szCs w:val="24"/>
              </w:rPr>
            </w:pPr>
            <w:r w:rsidRPr="002F0A41">
              <w:rPr>
                <w:i/>
                <w:sz w:val="24"/>
                <w:szCs w:val="24"/>
              </w:rPr>
              <w:t>Emir Feisal</w:t>
            </w:r>
            <w:r w:rsidR="0034661E">
              <w:rPr>
                <w:i/>
                <w:sz w:val="24"/>
                <w:szCs w:val="24"/>
              </w:rPr>
              <w:tab/>
            </w:r>
            <w:r w:rsidR="0034661E">
              <w:rPr>
                <w:i/>
                <w:sz w:val="24"/>
                <w:szCs w:val="24"/>
              </w:rPr>
              <w:tab/>
              <w:t>Member, Inns Conduct Committee</w:t>
            </w:r>
          </w:p>
          <w:p w:rsidR="0034661E" w:rsidRDefault="002F0A41" w:rsidP="00295B25">
            <w:pPr>
              <w:rPr>
                <w:i/>
                <w:sz w:val="24"/>
                <w:szCs w:val="24"/>
              </w:rPr>
            </w:pPr>
            <w:r w:rsidRPr="002F0A41">
              <w:rPr>
                <w:i/>
                <w:sz w:val="24"/>
                <w:szCs w:val="24"/>
              </w:rPr>
              <w:t>Sheila Hollingworth</w:t>
            </w:r>
            <w:r w:rsidR="0034661E">
              <w:rPr>
                <w:i/>
                <w:sz w:val="24"/>
                <w:szCs w:val="24"/>
              </w:rPr>
              <w:tab/>
              <w:t xml:space="preserve">Panellist, Disciplinary Tribunal pool </w:t>
            </w:r>
          </w:p>
          <w:p w:rsidR="0034661E" w:rsidRDefault="002F0A41" w:rsidP="00295B25">
            <w:pPr>
              <w:rPr>
                <w:i/>
                <w:sz w:val="24"/>
                <w:szCs w:val="24"/>
              </w:rPr>
            </w:pPr>
            <w:r w:rsidRPr="002F0A41">
              <w:rPr>
                <w:i/>
                <w:sz w:val="24"/>
                <w:szCs w:val="24"/>
              </w:rPr>
              <w:t>Joan Martin</w:t>
            </w:r>
            <w:r w:rsidR="0034661E">
              <w:rPr>
                <w:i/>
                <w:sz w:val="24"/>
                <w:szCs w:val="24"/>
              </w:rPr>
              <w:tab/>
            </w:r>
            <w:r w:rsidR="0034661E">
              <w:rPr>
                <w:i/>
                <w:sz w:val="24"/>
                <w:szCs w:val="24"/>
              </w:rPr>
              <w:tab/>
              <w:t>Lay Member, Tribunal Appointments Body</w:t>
            </w:r>
          </w:p>
          <w:p w:rsidR="005E2A67" w:rsidRPr="002F0A41" w:rsidRDefault="001D28F0" w:rsidP="00295B25">
            <w:pPr>
              <w:rPr>
                <w:i/>
                <w:sz w:val="24"/>
                <w:szCs w:val="24"/>
              </w:rPr>
            </w:pPr>
            <w:r>
              <w:rPr>
                <w:i/>
                <w:sz w:val="24"/>
                <w:szCs w:val="24"/>
              </w:rPr>
              <w:t>Stuart Sleeman</w:t>
            </w:r>
            <w:r>
              <w:rPr>
                <w:i/>
                <w:sz w:val="24"/>
                <w:szCs w:val="24"/>
              </w:rPr>
              <w:tab/>
              <w:t>Chair, Disciplinary Tribunal Service</w:t>
            </w:r>
          </w:p>
          <w:p w:rsidR="002F0A41" w:rsidRPr="002F0A41" w:rsidRDefault="002F0A41" w:rsidP="00295B25">
            <w:pPr>
              <w:rPr>
                <w:i/>
                <w:sz w:val="24"/>
                <w:szCs w:val="24"/>
              </w:rPr>
            </w:pPr>
          </w:p>
          <w:p w:rsidR="00671B36" w:rsidRDefault="002F0A41" w:rsidP="00295B25">
            <w:pPr>
              <w:rPr>
                <w:b/>
                <w:i/>
                <w:sz w:val="24"/>
                <w:szCs w:val="24"/>
              </w:rPr>
            </w:pPr>
            <w:r w:rsidRPr="002F0A41">
              <w:rPr>
                <w:b/>
                <w:i/>
                <w:sz w:val="24"/>
                <w:szCs w:val="24"/>
              </w:rPr>
              <w:t xml:space="preserve">Apologies: </w:t>
            </w:r>
          </w:p>
          <w:p w:rsidR="007364DA" w:rsidRDefault="007364DA" w:rsidP="007364DA">
            <w:pPr>
              <w:rPr>
                <w:i/>
                <w:sz w:val="24"/>
                <w:szCs w:val="24"/>
              </w:rPr>
            </w:pPr>
            <w:r w:rsidRPr="002F0A41">
              <w:rPr>
                <w:i/>
                <w:sz w:val="24"/>
                <w:szCs w:val="24"/>
              </w:rPr>
              <w:t>Malcolm Cohen</w:t>
            </w:r>
            <w:r>
              <w:rPr>
                <w:i/>
                <w:sz w:val="24"/>
                <w:szCs w:val="24"/>
              </w:rPr>
              <w:tab/>
              <w:t>Lay Board Member, Bar Standards Board</w:t>
            </w:r>
          </w:p>
          <w:p w:rsidR="002F0A41" w:rsidRDefault="007364DA" w:rsidP="00295B25">
            <w:pPr>
              <w:rPr>
                <w:i/>
                <w:sz w:val="24"/>
                <w:szCs w:val="24"/>
              </w:rPr>
            </w:pPr>
            <w:r w:rsidRPr="002F0A41">
              <w:rPr>
                <w:i/>
                <w:sz w:val="24"/>
                <w:szCs w:val="24"/>
              </w:rPr>
              <w:t>Heather Rogers</w:t>
            </w:r>
            <w:r>
              <w:rPr>
                <w:i/>
                <w:sz w:val="24"/>
                <w:szCs w:val="24"/>
              </w:rPr>
              <w:tab/>
              <w:t>Interim Chair, Inns Conduct Committee</w:t>
            </w:r>
          </w:p>
          <w:p w:rsidR="007364DA" w:rsidRPr="002F0A41" w:rsidRDefault="007364DA" w:rsidP="00295B25">
            <w:pPr>
              <w:rPr>
                <w:i/>
                <w:sz w:val="24"/>
                <w:szCs w:val="24"/>
              </w:rPr>
            </w:pPr>
          </w:p>
          <w:p w:rsidR="001D28F0" w:rsidRDefault="002F0A41" w:rsidP="00295B25">
            <w:pPr>
              <w:rPr>
                <w:b/>
                <w:i/>
                <w:sz w:val="24"/>
                <w:szCs w:val="24"/>
              </w:rPr>
            </w:pPr>
            <w:r w:rsidRPr="002F0A41">
              <w:rPr>
                <w:b/>
                <w:i/>
                <w:sz w:val="24"/>
                <w:szCs w:val="24"/>
              </w:rPr>
              <w:t xml:space="preserve">In Attendance: </w:t>
            </w:r>
          </w:p>
          <w:p w:rsidR="001D28F0" w:rsidRDefault="002F0A41" w:rsidP="00295B25">
            <w:pPr>
              <w:rPr>
                <w:i/>
                <w:sz w:val="24"/>
                <w:szCs w:val="24"/>
              </w:rPr>
            </w:pPr>
            <w:r w:rsidRPr="002F0A41">
              <w:rPr>
                <w:i/>
                <w:sz w:val="24"/>
                <w:szCs w:val="24"/>
              </w:rPr>
              <w:t>Hayley Addison</w:t>
            </w:r>
            <w:r w:rsidR="001D28F0">
              <w:rPr>
                <w:i/>
                <w:sz w:val="24"/>
                <w:szCs w:val="24"/>
              </w:rPr>
              <w:tab/>
              <w:t>Administrator</w:t>
            </w:r>
            <w:r w:rsidR="004E7964">
              <w:rPr>
                <w:i/>
                <w:sz w:val="24"/>
                <w:szCs w:val="24"/>
              </w:rPr>
              <w:t>, BTAS</w:t>
            </w:r>
          </w:p>
          <w:p w:rsidR="001D28F0" w:rsidRDefault="002F0A41" w:rsidP="00295B25">
            <w:pPr>
              <w:rPr>
                <w:i/>
                <w:sz w:val="24"/>
                <w:szCs w:val="24"/>
              </w:rPr>
            </w:pPr>
            <w:r w:rsidRPr="002F0A41">
              <w:rPr>
                <w:i/>
                <w:sz w:val="24"/>
                <w:szCs w:val="24"/>
              </w:rPr>
              <w:t>Chandra Connaghan</w:t>
            </w:r>
            <w:r w:rsidR="001D28F0">
              <w:rPr>
                <w:i/>
                <w:sz w:val="24"/>
                <w:szCs w:val="24"/>
              </w:rPr>
              <w:tab/>
              <w:t>Contract Management Officer, BSB</w:t>
            </w:r>
          </w:p>
          <w:p w:rsidR="00671B36" w:rsidRDefault="002F0A41" w:rsidP="00295B25">
            <w:pPr>
              <w:rPr>
                <w:i/>
                <w:sz w:val="24"/>
                <w:szCs w:val="24"/>
              </w:rPr>
            </w:pPr>
            <w:r w:rsidRPr="002F0A41">
              <w:rPr>
                <w:i/>
                <w:sz w:val="24"/>
                <w:szCs w:val="24"/>
              </w:rPr>
              <w:t>Andy Russell</w:t>
            </w:r>
            <w:r w:rsidR="001D28F0">
              <w:rPr>
                <w:i/>
                <w:sz w:val="24"/>
                <w:szCs w:val="24"/>
              </w:rPr>
              <w:tab/>
            </w:r>
            <w:r w:rsidR="001D28F0">
              <w:rPr>
                <w:i/>
                <w:sz w:val="24"/>
                <w:szCs w:val="24"/>
              </w:rPr>
              <w:tab/>
              <w:t>Registrar</w:t>
            </w:r>
            <w:r w:rsidR="004E7964">
              <w:rPr>
                <w:i/>
                <w:sz w:val="24"/>
                <w:szCs w:val="24"/>
              </w:rPr>
              <w:t>, BTAS</w:t>
            </w:r>
          </w:p>
          <w:p w:rsidR="002F0A41" w:rsidRPr="002F0A41" w:rsidRDefault="002F0A41" w:rsidP="00295B25">
            <w:pPr>
              <w:rPr>
                <w:i/>
                <w:sz w:val="24"/>
                <w:szCs w:val="24"/>
              </w:rPr>
            </w:pPr>
            <w:r w:rsidRPr="002F0A41">
              <w:rPr>
                <w:i/>
                <w:sz w:val="24"/>
                <w:szCs w:val="24"/>
              </w:rPr>
              <w:t>James Wakefield</w:t>
            </w:r>
            <w:r w:rsidR="00671B36">
              <w:rPr>
                <w:i/>
                <w:sz w:val="24"/>
                <w:szCs w:val="24"/>
              </w:rPr>
              <w:tab/>
              <w:t>Director, COIC</w:t>
            </w:r>
          </w:p>
          <w:p w:rsidR="002F0A41" w:rsidRDefault="002F0A41" w:rsidP="00295B25">
            <w:pPr>
              <w:rPr>
                <w:sz w:val="24"/>
                <w:szCs w:val="24"/>
              </w:rPr>
            </w:pPr>
          </w:p>
          <w:p w:rsidR="00EC617B" w:rsidRPr="007D3951" w:rsidRDefault="002F0A41" w:rsidP="004E7964">
            <w:pPr>
              <w:rPr>
                <w:sz w:val="24"/>
                <w:szCs w:val="24"/>
              </w:rPr>
            </w:pPr>
            <w:r>
              <w:rPr>
                <w:sz w:val="24"/>
                <w:szCs w:val="24"/>
              </w:rPr>
              <w:t xml:space="preserve">The </w:t>
            </w:r>
            <w:r w:rsidR="009D374F">
              <w:rPr>
                <w:sz w:val="24"/>
                <w:szCs w:val="24"/>
              </w:rPr>
              <w:t>Board</w:t>
            </w:r>
            <w:r>
              <w:rPr>
                <w:sz w:val="24"/>
                <w:szCs w:val="24"/>
              </w:rPr>
              <w:t xml:space="preserve"> </w:t>
            </w:r>
            <w:r w:rsidR="007364DA">
              <w:rPr>
                <w:sz w:val="24"/>
                <w:szCs w:val="24"/>
              </w:rPr>
              <w:t xml:space="preserve">was </w:t>
            </w:r>
            <w:r w:rsidR="007D3951">
              <w:rPr>
                <w:sz w:val="24"/>
                <w:szCs w:val="24"/>
              </w:rPr>
              <w:t xml:space="preserve">very </w:t>
            </w:r>
            <w:r w:rsidR="007364DA">
              <w:rPr>
                <w:sz w:val="24"/>
                <w:szCs w:val="24"/>
              </w:rPr>
              <w:t xml:space="preserve">pleased to note that </w:t>
            </w:r>
            <w:r w:rsidR="007D3951">
              <w:rPr>
                <w:sz w:val="24"/>
                <w:szCs w:val="24"/>
              </w:rPr>
              <w:t>Stuart Sleeman continued to act as Chair of the Disciplinary Tribunal Service (</w:t>
            </w:r>
            <w:r w:rsidR="007D3951">
              <w:rPr>
                <w:i/>
                <w:sz w:val="24"/>
                <w:szCs w:val="24"/>
              </w:rPr>
              <w:t>Minute 1.2, 09.07.14 refers)</w:t>
            </w:r>
            <w:r w:rsidR="007D3951">
              <w:rPr>
                <w:sz w:val="24"/>
                <w:szCs w:val="24"/>
              </w:rPr>
              <w:t xml:space="preserve"> and that his eligibility had been confirmed as fully in accordance with the Bar Standards Board’s (‘BSB’) </w:t>
            </w:r>
            <w:r w:rsidR="007D3951">
              <w:rPr>
                <w:i/>
                <w:sz w:val="24"/>
                <w:szCs w:val="24"/>
              </w:rPr>
              <w:t xml:space="preserve">Disciplinary Tribunal Regulations. </w:t>
            </w:r>
            <w:r w:rsidR="007D3951">
              <w:rPr>
                <w:sz w:val="24"/>
                <w:szCs w:val="24"/>
              </w:rPr>
              <w:t xml:space="preserve">While his appointment as a DCJ had not been renewed, his skills and expertise made him unquestionably the </w:t>
            </w:r>
            <w:r w:rsidR="00214421">
              <w:rPr>
                <w:sz w:val="24"/>
                <w:szCs w:val="24"/>
              </w:rPr>
              <w:t>most qualified person to undertake the role</w:t>
            </w:r>
            <w:r w:rsidR="002E3B1D">
              <w:rPr>
                <w:sz w:val="24"/>
                <w:szCs w:val="24"/>
              </w:rPr>
              <w:t xml:space="preserve"> and the SAB was grateful to have his continuing input</w:t>
            </w:r>
            <w:r w:rsidR="00214421">
              <w:rPr>
                <w:sz w:val="24"/>
                <w:szCs w:val="24"/>
              </w:rPr>
              <w:t xml:space="preserve">. </w:t>
            </w:r>
            <w:r w:rsidR="007D3951">
              <w:rPr>
                <w:sz w:val="24"/>
                <w:szCs w:val="24"/>
              </w:rPr>
              <w:t xml:space="preserve">  </w:t>
            </w:r>
            <w:r w:rsidR="007D3951">
              <w:rPr>
                <w:i/>
                <w:sz w:val="24"/>
                <w:szCs w:val="24"/>
              </w:rPr>
              <w:t xml:space="preserve"> </w:t>
            </w:r>
            <w:r w:rsidR="007D3951">
              <w:rPr>
                <w:sz w:val="24"/>
                <w:szCs w:val="24"/>
              </w:rPr>
              <w:t xml:space="preserve"> </w:t>
            </w:r>
          </w:p>
          <w:p w:rsidR="002F0A41" w:rsidRPr="002F0A41" w:rsidRDefault="002F0A41" w:rsidP="009D374F">
            <w:pPr>
              <w:rPr>
                <w:sz w:val="24"/>
                <w:szCs w:val="24"/>
              </w:rPr>
            </w:pPr>
          </w:p>
        </w:tc>
        <w:tc>
          <w:tcPr>
            <w:tcW w:w="1337" w:type="dxa"/>
          </w:tcPr>
          <w:p w:rsidR="005E2A67" w:rsidRPr="00F77D29" w:rsidRDefault="005E2A67" w:rsidP="00295B25">
            <w:pPr>
              <w:rPr>
                <w:sz w:val="24"/>
                <w:szCs w:val="24"/>
              </w:rPr>
            </w:pPr>
          </w:p>
        </w:tc>
      </w:tr>
      <w:tr w:rsidR="005E2A67" w:rsidRPr="00F77D29" w:rsidTr="00F77D29">
        <w:trPr>
          <w:trHeight w:val="567"/>
        </w:trPr>
        <w:tc>
          <w:tcPr>
            <w:tcW w:w="817" w:type="dxa"/>
          </w:tcPr>
          <w:p w:rsidR="005E2A67" w:rsidRDefault="005E2A67" w:rsidP="00295B25">
            <w:pPr>
              <w:rPr>
                <w:sz w:val="24"/>
                <w:szCs w:val="24"/>
              </w:rPr>
            </w:pPr>
            <w:r w:rsidRPr="00F77D29">
              <w:rPr>
                <w:sz w:val="24"/>
                <w:szCs w:val="24"/>
              </w:rPr>
              <w:t>2</w:t>
            </w:r>
          </w:p>
          <w:p w:rsidR="003674B5" w:rsidRDefault="003674B5" w:rsidP="00295B25">
            <w:pPr>
              <w:rPr>
                <w:sz w:val="24"/>
                <w:szCs w:val="24"/>
              </w:rPr>
            </w:pPr>
          </w:p>
          <w:p w:rsidR="003674B5" w:rsidRDefault="003674B5" w:rsidP="00295B25">
            <w:pPr>
              <w:rPr>
                <w:sz w:val="24"/>
                <w:szCs w:val="24"/>
              </w:rPr>
            </w:pPr>
          </w:p>
          <w:p w:rsidR="003674B5" w:rsidRPr="00F77D29" w:rsidRDefault="003674B5" w:rsidP="00295B25">
            <w:pPr>
              <w:rPr>
                <w:sz w:val="24"/>
                <w:szCs w:val="24"/>
              </w:rPr>
            </w:pPr>
          </w:p>
        </w:tc>
        <w:tc>
          <w:tcPr>
            <w:tcW w:w="7088" w:type="dxa"/>
          </w:tcPr>
          <w:p w:rsidR="005E2A67" w:rsidRPr="00552C83" w:rsidRDefault="00295B25" w:rsidP="00295B25">
            <w:pPr>
              <w:rPr>
                <w:b/>
                <w:sz w:val="24"/>
                <w:szCs w:val="24"/>
              </w:rPr>
            </w:pPr>
            <w:r w:rsidRPr="00552C83">
              <w:rPr>
                <w:b/>
                <w:sz w:val="24"/>
                <w:szCs w:val="24"/>
              </w:rPr>
              <w:lastRenderedPageBreak/>
              <w:t>Minutes of the Last Meeting</w:t>
            </w:r>
          </w:p>
          <w:p w:rsidR="00EC617B" w:rsidRPr="00552C83" w:rsidRDefault="00EC617B" w:rsidP="00295B25">
            <w:pPr>
              <w:rPr>
                <w:b/>
                <w:sz w:val="24"/>
                <w:szCs w:val="24"/>
              </w:rPr>
            </w:pPr>
          </w:p>
          <w:p w:rsidR="00295B25" w:rsidRPr="00F77D29" w:rsidRDefault="00EC617B" w:rsidP="00214421">
            <w:pPr>
              <w:rPr>
                <w:sz w:val="24"/>
                <w:szCs w:val="24"/>
              </w:rPr>
            </w:pPr>
            <w:r w:rsidRPr="00552C83">
              <w:rPr>
                <w:sz w:val="24"/>
                <w:szCs w:val="24"/>
              </w:rPr>
              <w:lastRenderedPageBreak/>
              <w:t>The</w:t>
            </w:r>
            <w:r w:rsidR="00295B25" w:rsidRPr="00552C83">
              <w:rPr>
                <w:sz w:val="24"/>
                <w:szCs w:val="24"/>
              </w:rPr>
              <w:t xml:space="preserve"> minutes of the meeting held on </w:t>
            </w:r>
            <w:r w:rsidR="00214421">
              <w:rPr>
                <w:sz w:val="24"/>
                <w:szCs w:val="24"/>
              </w:rPr>
              <w:t>9</w:t>
            </w:r>
            <w:r w:rsidR="00214421" w:rsidRPr="00214421">
              <w:rPr>
                <w:sz w:val="24"/>
                <w:szCs w:val="24"/>
                <w:vertAlign w:val="superscript"/>
              </w:rPr>
              <w:t>th</w:t>
            </w:r>
            <w:r w:rsidR="00214421">
              <w:rPr>
                <w:sz w:val="24"/>
                <w:szCs w:val="24"/>
              </w:rPr>
              <w:t xml:space="preserve"> July</w:t>
            </w:r>
            <w:r w:rsidR="00295B25" w:rsidRPr="00552C83">
              <w:rPr>
                <w:sz w:val="24"/>
                <w:szCs w:val="24"/>
              </w:rPr>
              <w:t xml:space="preserve"> 2014</w:t>
            </w:r>
            <w:r w:rsidR="00214421">
              <w:rPr>
                <w:sz w:val="24"/>
                <w:szCs w:val="24"/>
              </w:rPr>
              <w:t xml:space="preserve"> were confirmed, and will therefore be placed on the BTAS website.</w:t>
            </w:r>
          </w:p>
        </w:tc>
        <w:tc>
          <w:tcPr>
            <w:tcW w:w="1337" w:type="dxa"/>
          </w:tcPr>
          <w:p w:rsidR="00214421" w:rsidRDefault="00214421" w:rsidP="00295B25">
            <w:pPr>
              <w:rPr>
                <w:sz w:val="24"/>
                <w:szCs w:val="24"/>
              </w:rPr>
            </w:pPr>
          </w:p>
          <w:p w:rsidR="00214421" w:rsidRDefault="00214421" w:rsidP="00295B25">
            <w:pPr>
              <w:rPr>
                <w:sz w:val="24"/>
                <w:szCs w:val="24"/>
              </w:rPr>
            </w:pPr>
          </w:p>
          <w:p w:rsidR="005E2A67" w:rsidRPr="00F77D29" w:rsidRDefault="00295B25" w:rsidP="00295B25">
            <w:pPr>
              <w:rPr>
                <w:sz w:val="24"/>
                <w:szCs w:val="24"/>
              </w:rPr>
            </w:pPr>
            <w:r w:rsidRPr="00F77D29">
              <w:rPr>
                <w:sz w:val="24"/>
                <w:szCs w:val="24"/>
              </w:rPr>
              <w:lastRenderedPageBreak/>
              <w:t>Annex A</w:t>
            </w:r>
          </w:p>
        </w:tc>
      </w:tr>
      <w:tr w:rsidR="005E2A67" w:rsidRPr="00F77D29" w:rsidTr="00F77D29">
        <w:trPr>
          <w:trHeight w:val="567"/>
        </w:trPr>
        <w:tc>
          <w:tcPr>
            <w:tcW w:w="817" w:type="dxa"/>
          </w:tcPr>
          <w:p w:rsidR="005E2A67" w:rsidRDefault="005E2A67" w:rsidP="00295B25">
            <w:pPr>
              <w:rPr>
                <w:sz w:val="24"/>
                <w:szCs w:val="24"/>
              </w:rPr>
            </w:pPr>
            <w:r w:rsidRPr="00F77D29">
              <w:rPr>
                <w:sz w:val="24"/>
                <w:szCs w:val="24"/>
              </w:rPr>
              <w:lastRenderedPageBreak/>
              <w:t>3</w:t>
            </w:r>
          </w:p>
          <w:p w:rsidR="00E6165E" w:rsidRDefault="00E6165E" w:rsidP="00295B25">
            <w:pPr>
              <w:rPr>
                <w:sz w:val="24"/>
                <w:szCs w:val="24"/>
              </w:rPr>
            </w:pPr>
          </w:p>
          <w:p w:rsidR="00214421" w:rsidRDefault="00E6165E" w:rsidP="00295B25">
            <w:pPr>
              <w:rPr>
                <w:sz w:val="24"/>
                <w:szCs w:val="24"/>
              </w:rPr>
            </w:pPr>
            <w:r>
              <w:rPr>
                <w:sz w:val="24"/>
                <w:szCs w:val="24"/>
              </w:rPr>
              <w:t>3.1</w:t>
            </w:r>
          </w:p>
          <w:p w:rsidR="00214421" w:rsidRDefault="00214421" w:rsidP="00295B25">
            <w:pPr>
              <w:rPr>
                <w:sz w:val="24"/>
                <w:szCs w:val="24"/>
              </w:rPr>
            </w:pPr>
          </w:p>
          <w:p w:rsidR="00214421" w:rsidRDefault="00214421" w:rsidP="00295B25">
            <w:pPr>
              <w:rPr>
                <w:sz w:val="24"/>
                <w:szCs w:val="24"/>
              </w:rPr>
            </w:pPr>
          </w:p>
          <w:p w:rsidR="00E6165E" w:rsidRDefault="00E6165E" w:rsidP="00295B25">
            <w:pPr>
              <w:rPr>
                <w:sz w:val="24"/>
                <w:szCs w:val="24"/>
              </w:rPr>
            </w:pPr>
            <w:r>
              <w:rPr>
                <w:sz w:val="24"/>
                <w:szCs w:val="24"/>
              </w:rPr>
              <w:t>3.2</w:t>
            </w:r>
          </w:p>
          <w:p w:rsidR="00E6165E" w:rsidRDefault="00E6165E" w:rsidP="00295B25">
            <w:pPr>
              <w:rPr>
                <w:sz w:val="24"/>
                <w:szCs w:val="24"/>
              </w:rPr>
            </w:pPr>
          </w:p>
          <w:p w:rsidR="00E6165E" w:rsidRDefault="00E6165E" w:rsidP="00295B25">
            <w:pPr>
              <w:rPr>
                <w:sz w:val="24"/>
                <w:szCs w:val="24"/>
              </w:rPr>
            </w:pPr>
          </w:p>
          <w:p w:rsidR="00E6165E" w:rsidRDefault="00E6165E" w:rsidP="00295B25">
            <w:pPr>
              <w:rPr>
                <w:sz w:val="24"/>
                <w:szCs w:val="24"/>
              </w:rPr>
            </w:pPr>
          </w:p>
          <w:p w:rsidR="00E6165E" w:rsidRDefault="00E6165E" w:rsidP="00295B25">
            <w:pPr>
              <w:rPr>
                <w:sz w:val="24"/>
                <w:szCs w:val="24"/>
              </w:rPr>
            </w:pPr>
          </w:p>
          <w:p w:rsidR="00E6165E" w:rsidRDefault="00E6165E" w:rsidP="00295B25">
            <w:pPr>
              <w:rPr>
                <w:sz w:val="24"/>
                <w:szCs w:val="24"/>
              </w:rPr>
            </w:pPr>
          </w:p>
          <w:p w:rsidR="00AE5D93" w:rsidRPr="00F77D29" w:rsidRDefault="00AE5D93" w:rsidP="00ED2639">
            <w:pPr>
              <w:rPr>
                <w:sz w:val="24"/>
                <w:szCs w:val="24"/>
              </w:rPr>
            </w:pPr>
          </w:p>
        </w:tc>
        <w:tc>
          <w:tcPr>
            <w:tcW w:w="7088" w:type="dxa"/>
          </w:tcPr>
          <w:p w:rsidR="005E2A67" w:rsidRPr="00F77D29" w:rsidRDefault="00AE5D93" w:rsidP="00295B25">
            <w:pPr>
              <w:rPr>
                <w:b/>
                <w:sz w:val="24"/>
                <w:szCs w:val="24"/>
              </w:rPr>
            </w:pPr>
            <w:r w:rsidRPr="00F77D29">
              <w:rPr>
                <w:b/>
                <w:sz w:val="24"/>
                <w:szCs w:val="24"/>
              </w:rPr>
              <w:t>Actions from the Last Meeting</w:t>
            </w:r>
          </w:p>
          <w:p w:rsidR="00A44D03" w:rsidRPr="00F77D29" w:rsidRDefault="00A44D03" w:rsidP="00214421">
            <w:pPr>
              <w:rPr>
                <w:sz w:val="24"/>
                <w:szCs w:val="24"/>
              </w:rPr>
            </w:pPr>
          </w:p>
          <w:p w:rsidR="00ED2639" w:rsidRDefault="00ED2639" w:rsidP="00214421">
            <w:pPr>
              <w:rPr>
                <w:rFonts w:cs="Arial"/>
                <w:sz w:val="24"/>
                <w:szCs w:val="24"/>
              </w:rPr>
            </w:pPr>
            <w:r>
              <w:rPr>
                <w:rFonts w:cs="Arial"/>
                <w:sz w:val="24"/>
                <w:szCs w:val="24"/>
              </w:rPr>
              <w:t>The Board noted the update on actions from the last meeting as detailed in the agenda.</w:t>
            </w:r>
          </w:p>
          <w:p w:rsidR="00ED2639" w:rsidRDefault="00ED2639" w:rsidP="00214421">
            <w:pPr>
              <w:rPr>
                <w:rFonts w:cs="Arial"/>
                <w:sz w:val="24"/>
                <w:szCs w:val="24"/>
              </w:rPr>
            </w:pPr>
          </w:p>
          <w:p w:rsidR="00A44D03" w:rsidRPr="00F77D29" w:rsidRDefault="00ED2639" w:rsidP="00214421">
            <w:pPr>
              <w:rPr>
                <w:rFonts w:cs="Arial"/>
                <w:sz w:val="24"/>
                <w:szCs w:val="24"/>
              </w:rPr>
            </w:pPr>
            <w:r>
              <w:rPr>
                <w:rFonts w:cs="Arial"/>
                <w:sz w:val="24"/>
                <w:szCs w:val="24"/>
              </w:rPr>
              <w:t>In terms of Action 10 – the p</w:t>
            </w:r>
            <w:r w:rsidR="00214421">
              <w:rPr>
                <w:rFonts w:cs="Arial"/>
                <w:sz w:val="24"/>
                <w:szCs w:val="24"/>
              </w:rPr>
              <w:t xml:space="preserve">rovision of </w:t>
            </w:r>
            <w:r w:rsidR="002E3B1D">
              <w:rPr>
                <w:rFonts w:cs="Arial"/>
                <w:sz w:val="24"/>
                <w:szCs w:val="24"/>
              </w:rPr>
              <w:t xml:space="preserve">a </w:t>
            </w:r>
            <w:r w:rsidR="00214421">
              <w:rPr>
                <w:rFonts w:cs="Arial"/>
                <w:sz w:val="24"/>
                <w:szCs w:val="24"/>
              </w:rPr>
              <w:t>rolling forecast of future Tribunal numbers</w:t>
            </w:r>
            <w:r>
              <w:rPr>
                <w:rFonts w:cs="Arial"/>
                <w:sz w:val="24"/>
                <w:szCs w:val="24"/>
              </w:rPr>
              <w:t xml:space="preserve"> - t</w:t>
            </w:r>
            <w:r w:rsidR="00214421">
              <w:rPr>
                <w:rFonts w:cs="Arial"/>
                <w:sz w:val="24"/>
                <w:szCs w:val="24"/>
              </w:rPr>
              <w:t xml:space="preserve">he Registrar </w:t>
            </w:r>
            <w:r>
              <w:rPr>
                <w:rFonts w:cs="Arial"/>
                <w:sz w:val="24"/>
                <w:szCs w:val="24"/>
              </w:rPr>
              <w:t xml:space="preserve">confirmed he </w:t>
            </w:r>
            <w:r w:rsidR="00214421">
              <w:rPr>
                <w:rFonts w:cs="Arial"/>
                <w:sz w:val="24"/>
                <w:szCs w:val="24"/>
              </w:rPr>
              <w:t>is in discussions with the BSB’s Investigations and Hearings Team Manager regarding the provision of the numbers of cases being put to the BSB’s Professional Conduct Committee</w:t>
            </w:r>
            <w:r>
              <w:rPr>
                <w:rFonts w:cs="Arial"/>
                <w:sz w:val="24"/>
                <w:szCs w:val="24"/>
              </w:rPr>
              <w:t xml:space="preserve">. It is </w:t>
            </w:r>
            <w:r w:rsidR="00214421">
              <w:rPr>
                <w:rFonts w:cs="Arial"/>
                <w:sz w:val="24"/>
                <w:szCs w:val="24"/>
              </w:rPr>
              <w:t xml:space="preserve">hoped </w:t>
            </w:r>
            <w:r>
              <w:rPr>
                <w:rFonts w:cs="Arial"/>
                <w:sz w:val="24"/>
                <w:szCs w:val="24"/>
              </w:rPr>
              <w:t xml:space="preserve">this </w:t>
            </w:r>
            <w:r w:rsidR="00214421">
              <w:rPr>
                <w:rFonts w:cs="Arial"/>
                <w:sz w:val="24"/>
                <w:szCs w:val="24"/>
              </w:rPr>
              <w:t xml:space="preserve">will provide BTAS with advance and trend information about the numbers of future hearings.    </w:t>
            </w:r>
          </w:p>
          <w:p w:rsidR="00295B25" w:rsidRPr="00F77D29" w:rsidRDefault="00295B25" w:rsidP="00ED2639">
            <w:pPr>
              <w:rPr>
                <w:sz w:val="24"/>
                <w:szCs w:val="24"/>
              </w:rPr>
            </w:pPr>
          </w:p>
        </w:tc>
        <w:tc>
          <w:tcPr>
            <w:tcW w:w="1337" w:type="dxa"/>
          </w:tcPr>
          <w:p w:rsidR="00A44D03" w:rsidRPr="00F77D29" w:rsidRDefault="00A44D03" w:rsidP="00295B25">
            <w:pPr>
              <w:rPr>
                <w:sz w:val="24"/>
                <w:szCs w:val="24"/>
              </w:rPr>
            </w:pPr>
          </w:p>
          <w:p w:rsidR="00A44D03" w:rsidRPr="00F77D29" w:rsidRDefault="00A44D03" w:rsidP="00295B25">
            <w:pPr>
              <w:rPr>
                <w:sz w:val="24"/>
                <w:szCs w:val="24"/>
              </w:rPr>
            </w:pPr>
          </w:p>
          <w:p w:rsidR="005E2A67" w:rsidRPr="00F77D29" w:rsidRDefault="00295B25" w:rsidP="00ED2639">
            <w:pPr>
              <w:rPr>
                <w:sz w:val="24"/>
                <w:szCs w:val="24"/>
              </w:rPr>
            </w:pPr>
            <w:r w:rsidRPr="00F77D29">
              <w:rPr>
                <w:sz w:val="24"/>
                <w:szCs w:val="24"/>
              </w:rPr>
              <w:t>Annex B</w:t>
            </w:r>
          </w:p>
        </w:tc>
      </w:tr>
      <w:tr w:rsidR="005E2A67" w:rsidRPr="00F77D29" w:rsidTr="00F77D29">
        <w:trPr>
          <w:trHeight w:val="567"/>
        </w:trPr>
        <w:tc>
          <w:tcPr>
            <w:tcW w:w="817" w:type="dxa"/>
          </w:tcPr>
          <w:p w:rsidR="005E2A67" w:rsidRPr="00F77D29" w:rsidRDefault="005E2A67" w:rsidP="00295B25">
            <w:pPr>
              <w:rPr>
                <w:sz w:val="24"/>
                <w:szCs w:val="24"/>
              </w:rPr>
            </w:pPr>
            <w:r w:rsidRPr="00F77D29">
              <w:rPr>
                <w:sz w:val="24"/>
                <w:szCs w:val="24"/>
              </w:rPr>
              <w:t>4</w:t>
            </w:r>
          </w:p>
          <w:p w:rsidR="006014EC" w:rsidRPr="00F77D29" w:rsidRDefault="006014EC" w:rsidP="00295B25">
            <w:pPr>
              <w:rPr>
                <w:sz w:val="24"/>
                <w:szCs w:val="24"/>
              </w:rPr>
            </w:pPr>
          </w:p>
          <w:p w:rsidR="006014EC" w:rsidRDefault="006014EC" w:rsidP="00295B25">
            <w:pPr>
              <w:rPr>
                <w:sz w:val="24"/>
                <w:szCs w:val="24"/>
              </w:rPr>
            </w:pPr>
            <w:r w:rsidRPr="00F77D29">
              <w:rPr>
                <w:sz w:val="24"/>
                <w:szCs w:val="24"/>
              </w:rPr>
              <w:t>4.1</w:t>
            </w:r>
          </w:p>
          <w:p w:rsidR="0042272E" w:rsidRDefault="0042272E" w:rsidP="00295B25">
            <w:pPr>
              <w:rPr>
                <w:sz w:val="24"/>
                <w:szCs w:val="24"/>
              </w:rPr>
            </w:pPr>
          </w:p>
          <w:p w:rsidR="0042272E" w:rsidRDefault="0042272E" w:rsidP="00295B25">
            <w:pPr>
              <w:rPr>
                <w:sz w:val="24"/>
                <w:szCs w:val="24"/>
              </w:rPr>
            </w:pPr>
          </w:p>
          <w:p w:rsidR="0042272E" w:rsidRDefault="0042272E" w:rsidP="00295B25">
            <w:pPr>
              <w:rPr>
                <w:sz w:val="24"/>
                <w:szCs w:val="24"/>
              </w:rPr>
            </w:pPr>
          </w:p>
          <w:p w:rsidR="001609B3" w:rsidRPr="00F77D29" w:rsidRDefault="001609B3" w:rsidP="00ED2639">
            <w:pPr>
              <w:rPr>
                <w:sz w:val="24"/>
                <w:szCs w:val="24"/>
              </w:rPr>
            </w:pPr>
          </w:p>
        </w:tc>
        <w:tc>
          <w:tcPr>
            <w:tcW w:w="7088" w:type="dxa"/>
          </w:tcPr>
          <w:p w:rsidR="005E2A67" w:rsidRPr="00F77D29" w:rsidRDefault="00AE5D93" w:rsidP="00295B25">
            <w:pPr>
              <w:rPr>
                <w:b/>
                <w:sz w:val="24"/>
                <w:szCs w:val="24"/>
              </w:rPr>
            </w:pPr>
            <w:r w:rsidRPr="00F77D29">
              <w:rPr>
                <w:b/>
                <w:sz w:val="24"/>
                <w:szCs w:val="24"/>
              </w:rPr>
              <w:t>Matters Arising</w:t>
            </w:r>
            <w:r w:rsidR="00D24FFD">
              <w:rPr>
                <w:b/>
                <w:sz w:val="24"/>
                <w:szCs w:val="24"/>
              </w:rPr>
              <w:t xml:space="preserve"> from the Minutes</w:t>
            </w:r>
          </w:p>
          <w:p w:rsidR="001609B3" w:rsidRDefault="001609B3" w:rsidP="00AE5D93">
            <w:pPr>
              <w:rPr>
                <w:sz w:val="24"/>
                <w:szCs w:val="24"/>
              </w:rPr>
            </w:pPr>
          </w:p>
          <w:p w:rsidR="008D110E" w:rsidRDefault="0042272E" w:rsidP="00AE5D93">
            <w:pPr>
              <w:rPr>
                <w:sz w:val="24"/>
                <w:szCs w:val="24"/>
              </w:rPr>
            </w:pPr>
            <w:r>
              <w:rPr>
                <w:sz w:val="24"/>
                <w:szCs w:val="24"/>
              </w:rPr>
              <w:t>Standard of Proof</w:t>
            </w:r>
            <w:r w:rsidR="00ED2639">
              <w:rPr>
                <w:sz w:val="24"/>
                <w:szCs w:val="24"/>
              </w:rPr>
              <w:t xml:space="preserve"> (</w:t>
            </w:r>
            <w:r w:rsidR="00ED2639">
              <w:rPr>
                <w:i/>
                <w:sz w:val="24"/>
                <w:szCs w:val="24"/>
              </w:rPr>
              <w:t>Minute 4.1, 09.07.14 refers</w:t>
            </w:r>
            <w:r w:rsidR="00ED2639">
              <w:rPr>
                <w:sz w:val="24"/>
                <w:szCs w:val="24"/>
              </w:rPr>
              <w:t>)</w:t>
            </w:r>
            <w:r w:rsidR="00F95599">
              <w:rPr>
                <w:sz w:val="24"/>
                <w:szCs w:val="24"/>
              </w:rPr>
              <w:t xml:space="preserve">: </w:t>
            </w:r>
            <w:r w:rsidR="00ED2639">
              <w:rPr>
                <w:sz w:val="24"/>
                <w:szCs w:val="24"/>
              </w:rPr>
              <w:t xml:space="preserve">The Director General of the BSB confirmed that </w:t>
            </w:r>
            <w:r w:rsidR="000C260D">
              <w:rPr>
                <w:sz w:val="24"/>
                <w:szCs w:val="24"/>
              </w:rPr>
              <w:t xml:space="preserve">the issue had been recently </w:t>
            </w:r>
            <w:r w:rsidR="008D110E">
              <w:rPr>
                <w:sz w:val="24"/>
                <w:szCs w:val="24"/>
              </w:rPr>
              <w:t>considered</w:t>
            </w:r>
            <w:r w:rsidR="000C260D">
              <w:rPr>
                <w:sz w:val="24"/>
                <w:szCs w:val="24"/>
              </w:rPr>
              <w:t xml:space="preserve"> by their Board, </w:t>
            </w:r>
            <w:r w:rsidR="008D110E">
              <w:rPr>
                <w:sz w:val="24"/>
                <w:szCs w:val="24"/>
              </w:rPr>
              <w:t xml:space="preserve">and agreed to provide a copy of paper put to the Board for the SAB’s reference. </w:t>
            </w:r>
            <w:r w:rsidR="008D110E" w:rsidRPr="008D110E">
              <w:rPr>
                <w:b/>
                <w:color w:val="FF0000"/>
                <w:sz w:val="24"/>
                <w:szCs w:val="24"/>
              </w:rPr>
              <w:t>Action</w:t>
            </w:r>
            <w:r w:rsidR="002E3B1D">
              <w:rPr>
                <w:b/>
                <w:color w:val="FF0000"/>
                <w:sz w:val="24"/>
                <w:szCs w:val="24"/>
              </w:rPr>
              <w:t xml:space="preserve"> 1</w:t>
            </w:r>
            <w:r w:rsidR="008D110E" w:rsidRPr="008D110E">
              <w:rPr>
                <w:b/>
                <w:color w:val="FF0000"/>
                <w:sz w:val="24"/>
                <w:szCs w:val="24"/>
              </w:rPr>
              <w:t>: VD</w:t>
            </w:r>
          </w:p>
          <w:p w:rsidR="008D110E" w:rsidRDefault="008D110E" w:rsidP="00AE5D93">
            <w:pPr>
              <w:rPr>
                <w:sz w:val="24"/>
                <w:szCs w:val="24"/>
              </w:rPr>
            </w:pPr>
          </w:p>
          <w:p w:rsidR="00F95599" w:rsidRDefault="008D110E" w:rsidP="00AE5D93">
            <w:pPr>
              <w:rPr>
                <w:sz w:val="24"/>
                <w:szCs w:val="24"/>
              </w:rPr>
            </w:pPr>
            <w:r>
              <w:rPr>
                <w:sz w:val="24"/>
                <w:szCs w:val="24"/>
              </w:rPr>
              <w:t>She highlighted that the BSB had undertaken to revisit the matter in 2016, unless cases in the court</w:t>
            </w:r>
            <w:r w:rsidR="004A15A9">
              <w:rPr>
                <w:sz w:val="24"/>
                <w:szCs w:val="24"/>
              </w:rPr>
              <w:t>s meant it had to be returned t</w:t>
            </w:r>
            <w:r w:rsidR="002E3B1D">
              <w:rPr>
                <w:sz w:val="24"/>
                <w:szCs w:val="24"/>
              </w:rPr>
              <w:t>o</w:t>
            </w:r>
            <w:r>
              <w:rPr>
                <w:sz w:val="24"/>
                <w:szCs w:val="24"/>
              </w:rPr>
              <w:t xml:space="preserve"> more quickly in which case she would update the SAB. </w:t>
            </w:r>
          </w:p>
          <w:p w:rsidR="00F62A2B" w:rsidRPr="00B948CB" w:rsidRDefault="00F62A2B" w:rsidP="00ED2639">
            <w:pPr>
              <w:rPr>
                <w:sz w:val="24"/>
                <w:szCs w:val="24"/>
              </w:rPr>
            </w:pPr>
          </w:p>
        </w:tc>
        <w:tc>
          <w:tcPr>
            <w:tcW w:w="1337" w:type="dxa"/>
          </w:tcPr>
          <w:p w:rsidR="005E2A67" w:rsidRDefault="005E2A67" w:rsidP="00295B25">
            <w:pPr>
              <w:rPr>
                <w:sz w:val="24"/>
                <w:szCs w:val="24"/>
              </w:rPr>
            </w:pPr>
          </w:p>
          <w:p w:rsidR="0042272E" w:rsidRDefault="0042272E" w:rsidP="00295B25">
            <w:pPr>
              <w:rPr>
                <w:sz w:val="24"/>
                <w:szCs w:val="24"/>
              </w:rPr>
            </w:pPr>
          </w:p>
          <w:p w:rsidR="008D110E" w:rsidRDefault="008D110E" w:rsidP="00295B25">
            <w:pPr>
              <w:rPr>
                <w:sz w:val="24"/>
                <w:szCs w:val="24"/>
              </w:rPr>
            </w:pPr>
          </w:p>
          <w:p w:rsidR="008D110E" w:rsidRDefault="008D110E" w:rsidP="00295B25">
            <w:pPr>
              <w:rPr>
                <w:sz w:val="24"/>
                <w:szCs w:val="24"/>
              </w:rPr>
            </w:pPr>
          </w:p>
          <w:p w:rsidR="0042272E" w:rsidRDefault="0042272E" w:rsidP="00295B25">
            <w:pPr>
              <w:rPr>
                <w:sz w:val="24"/>
                <w:szCs w:val="24"/>
              </w:rPr>
            </w:pPr>
          </w:p>
          <w:p w:rsidR="0042272E" w:rsidRPr="00F77D29" w:rsidRDefault="0042272E" w:rsidP="00295B25">
            <w:pPr>
              <w:rPr>
                <w:sz w:val="24"/>
                <w:szCs w:val="24"/>
              </w:rPr>
            </w:pPr>
          </w:p>
        </w:tc>
      </w:tr>
      <w:tr w:rsidR="005E2A67" w:rsidTr="00F77D29">
        <w:trPr>
          <w:trHeight w:val="567"/>
        </w:trPr>
        <w:tc>
          <w:tcPr>
            <w:tcW w:w="817" w:type="dxa"/>
          </w:tcPr>
          <w:p w:rsidR="005E2A67" w:rsidRDefault="005E2A67" w:rsidP="00295B25">
            <w:pPr>
              <w:rPr>
                <w:sz w:val="24"/>
                <w:szCs w:val="24"/>
              </w:rPr>
            </w:pPr>
            <w:r w:rsidRPr="005E2A67">
              <w:rPr>
                <w:sz w:val="24"/>
                <w:szCs w:val="24"/>
              </w:rPr>
              <w:t>5</w:t>
            </w:r>
          </w:p>
          <w:p w:rsidR="0042272E" w:rsidRDefault="0042272E" w:rsidP="00295B25">
            <w:pPr>
              <w:rPr>
                <w:sz w:val="24"/>
                <w:szCs w:val="24"/>
              </w:rPr>
            </w:pPr>
          </w:p>
          <w:p w:rsidR="0042272E" w:rsidRDefault="0042272E" w:rsidP="00295B25">
            <w:pPr>
              <w:rPr>
                <w:sz w:val="24"/>
                <w:szCs w:val="24"/>
              </w:rPr>
            </w:pPr>
            <w:r>
              <w:rPr>
                <w:sz w:val="24"/>
                <w:szCs w:val="24"/>
              </w:rPr>
              <w:t>5.1</w:t>
            </w:r>
          </w:p>
          <w:p w:rsidR="00D008BB" w:rsidRDefault="00D008BB" w:rsidP="00295B25">
            <w:pPr>
              <w:rPr>
                <w:sz w:val="24"/>
                <w:szCs w:val="24"/>
              </w:rPr>
            </w:pPr>
          </w:p>
          <w:p w:rsidR="00E9292C" w:rsidRDefault="00E9292C" w:rsidP="00295B25">
            <w:pPr>
              <w:rPr>
                <w:sz w:val="24"/>
                <w:szCs w:val="24"/>
              </w:rPr>
            </w:pPr>
          </w:p>
          <w:p w:rsidR="00E9292C" w:rsidRDefault="00E9292C" w:rsidP="00295B25">
            <w:pPr>
              <w:rPr>
                <w:sz w:val="24"/>
                <w:szCs w:val="24"/>
              </w:rPr>
            </w:pPr>
          </w:p>
          <w:p w:rsidR="00D008BB" w:rsidRDefault="00D008BB" w:rsidP="00295B25">
            <w:pPr>
              <w:rPr>
                <w:sz w:val="24"/>
                <w:szCs w:val="24"/>
              </w:rPr>
            </w:pPr>
            <w:r>
              <w:rPr>
                <w:sz w:val="24"/>
                <w:szCs w:val="24"/>
              </w:rPr>
              <w:t>5.2</w:t>
            </w:r>
          </w:p>
          <w:p w:rsidR="00FC12E7" w:rsidRDefault="00FC12E7" w:rsidP="00295B25">
            <w:pPr>
              <w:rPr>
                <w:sz w:val="24"/>
                <w:szCs w:val="24"/>
              </w:rPr>
            </w:pPr>
          </w:p>
          <w:p w:rsidR="00FC12E7" w:rsidRDefault="00FC12E7" w:rsidP="00295B25">
            <w:pPr>
              <w:rPr>
                <w:sz w:val="24"/>
                <w:szCs w:val="24"/>
              </w:rPr>
            </w:pPr>
          </w:p>
          <w:p w:rsidR="007A5EDA" w:rsidRDefault="007A5EDA" w:rsidP="00295B25">
            <w:pPr>
              <w:rPr>
                <w:sz w:val="24"/>
                <w:szCs w:val="24"/>
              </w:rPr>
            </w:pPr>
          </w:p>
          <w:p w:rsidR="007A5EDA" w:rsidRDefault="007A5EDA" w:rsidP="00295B25">
            <w:pPr>
              <w:rPr>
                <w:sz w:val="24"/>
                <w:szCs w:val="24"/>
              </w:rPr>
            </w:pPr>
          </w:p>
          <w:p w:rsidR="007A5EDA" w:rsidRDefault="007A5EDA" w:rsidP="00295B25">
            <w:pPr>
              <w:rPr>
                <w:sz w:val="24"/>
                <w:szCs w:val="24"/>
              </w:rPr>
            </w:pPr>
          </w:p>
          <w:p w:rsidR="007A5EDA" w:rsidRDefault="007A5EDA" w:rsidP="00295B25">
            <w:pPr>
              <w:rPr>
                <w:sz w:val="24"/>
                <w:szCs w:val="24"/>
              </w:rPr>
            </w:pPr>
          </w:p>
          <w:p w:rsidR="007A5EDA" w:rsidRDefault="007A5EDA"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A93590" w:rsidRDefault="00A93590" w:rsidP="00295B25">
            <w:pPr>
              <w:rPr>
                <w:sz w:val="24"/>
                <w:szCs w:val="24"/>
              </w:rPr>
            </w:pPr>
          </w:p>
          <w:p w:rsidR="00A93590" w:rsidRDefault="00A93590" w:rsidP="00295B25">
            <w:pPr>
              <w:rPr>
                <w:sz w:val="24"/>
                <w:szCs w:val="24"/>
              </w:rPr>
            </w:pPr>
            <w:bookmarkStart w:id="0" w:name="_GoBack"/>
            <w:bookmarkEnd w:id="0"/>
          </w:p>
          <w:p w:rsidR="00116EB5" w:rsidRDefault="00116EB5" w:rsidP="00295B25">
            <w:pPr>
              <w:rPr>
                <w:sz w:val="24"/>
                <w:szCs w:val="24"/>
              </w:rPr>
            </w:pPr>
          </w:p>
          <w:p w:rsidR="007A5EDA" w:rsidRDefault="007A5EDA" w:rsidP="00295B25">
            <w:pPr>
              <w:rPr>
                <w:sz w:val="24"/>
                <w:szCs w:val="24"/>
              </w:rPr>
            </w:pPr>
          </w:p>
          <w:p w:rsidR="00FC12E7" w:rsidRDefault="00FC12E7" w:rsidP="00295B25">
            <w:pPr>
              <w:rPr>
                <w:sz w:val="24"/>
                <w:szCs w:val="24"/>
              </w:rPr>
            </w:pPr>
          </w:p>
          <w:p w:rsidR="00D008BB" w:rsidRDefault="00D008BB" w:rsidP="00295B25">
            <w:pPr>
              <w:rPr>
                <w:sz w:val="24"/>
                <w:szCs w:val="24"/>
              </w:rPr>
            </w:pPr>
            <w:r>
              <w:rPr>
                <w:sz w:val="24"/>
                <w:szCs w:val="24"/>
              </w:rPr>
              <w:t>5.3</w:t>
            </w:r>
          </w:p>
          <w:p w:rsidR="006311F1" w:rsidRDefault="006311F1" w:rsidP="00295B25">
            <w:pPr>
              <w:rPr>
                <w:sz w:val="24"/>
                <w:szCs w:val="24"/>
              </w:rPr>
            </w:pPr>
          </w:p>
          <w:p w:rsidR="006311F1" w:rsidRDefault="006311F1" w:rsidP="00295B25">
            <w:pPr>
              <w:rPr>
                <w:sz w:val="24"/>
                <w:szCs w:val="24"/>
              </w:rPr>
            </w:pPr>
          </w:p>
          <w:p w:rsidR="006311F1" w:rsidRDefault="006311F1" w:rsidP="00295B25">
            <w:pPr>
              <w:rPr>
                <w:sz w:val="24"/>
                <w:szCs w:val="24"/>
              </w:rPr>
            </w:pPr>
          </w:p>
          <w:p w:rsidR="006311F1" w:rsidRDefault="006311F1" w:rsidP="00295B25">
            <w:pPr>
              <w:rPr>
                <w:sz w:val="24"/>
                <w:szCs w:val="24"/>
              </w:rPr>
            </w:pPr>
          </w:p>
          <w:p w:rsidR="006311F1" w:rsidRDefault="006311F1" w:rsidP="00295B25">
            <w:pPr>
              <w:rPr>
                <w:sz w:val="24"/>
                <w:szCs w:val="24"/>
              </w:rPr>
            </w:pPr>
          </w:p>
          <w:p w:rsidR="006311F1" w:rsidRDefault="006311F1" w:rsidP="00295B25">
            <w:pPr>
              <w:rPr>
                <w:sz w:val="24"/>
                <w:szCs w:val="24"/>
              </w:rPr>
            </w:pPr>
          </w:p>
          <w:p w:rsidR="006311F1" w:rsidRDefault="006311F1" w:rsidP="00295B25">
            <w:pPr>
              <w:rPr>
                <w:sz w:val="24"/>
                <w:szCs w:val="24"/>
              </w:rPr>
            </w:pPr>
          </w:p>
          <w:p w:rsidR="006311F1" w:rsidRDefault="006311F1" w:rsidP="00295B25">
            <w:pPr>
              <w:rPr>
                <w:sz w:val="24"/>
                <w:szCs w:val="24"/>
              </w:rPr>
            </w:pPr>
          </w:p>
          <w:p w:rsidR="006311F1" w:rsidRDefault="006311F1" w:rsidP="00295B25">
            <w:pPr>
              <w:rPr>
                <w:sz w:val="24"/>
                <w:szCs w:val="24"/>
              </w:rPr>
            </w:pPr>
          </w:p>
          <w:p w:rsidR="006311F1" w:rsidRDefault="006311F1" w:rsidP="00295B25">
            <w:pPr>
              <w:rPr>
                <w:sz w:val="24"/>
                <w:szCs w:val="24"/>
              </w:rPr>
            </w:pPr>
          </w:p>
          <w:p w:rsidR="006311F1" w:rsidRPr="005E2A67" w:rsidRDefault="006311F1" w:rsidP="00295B25">
            <w:pPr>
              <w:rPr>
                <w:sz w:val="24"/>
                <w:szCs w:val="24"/>
              </w:rPr>
            </w:pPr>
            <w:r>
              <w:rPr>
                <w:sz w:val="24"/>
                <w:szCs w:val="24"/>
              </w:rPr>
              <w:t>5.4</w:t>
            </w:r>
          </w:p>
        </w:tc>
        <w:tc>
          <w:tcPr>
            <w:tcW w:w="7088" w:type="dxa"/>
          </w:tcPr>
          <w:p w:rsidR="005E2A67" w:rsidRDefault="0042272E" w:rsidP="00295B25">
            <w:pPr>
              <w:rPr>
                <w:b/>
                <w:sz w:val="24"/>
                <w:szCs w:val="24"/>
              </w:rPr>
            </w:pPr>
            <w:r>
              <w:rPr>
                <w:b/>
                <w:sz w:val="24"/>
                <w:szCs w:val="24"/>
              </w:rPr>
              <w:lastRenderedPageBreak/>
              <w:t>Key Performance Indicators</w:t>
            </w:r>
          </w:p>
          <w:p w:rsidR="0042272E" w:rsidRDefault="0042272E" w:rsidP="00295B25">
            <w:pPr>
              <w:rPr>
                <w:b/>
                <w:sz w:val="24"/>
                <w:szCs w:val="24"/>
              </w:rPr>
            </w:pPr>
          </w:p>
          <w:p w:rsidR="00134AE5" w:rsidRDefault="009D313A" w:rsidP="008D110E">
            <w:pPr>
              <w:rPr>
                <w:sz w:val="24"/>
                <w:szCs w:val="24"/>
              </w:rPr>
            </w:pPr>
            <w:r>
              <w:rPr>
                <w:sz w:val="24"/>
                <w:szCs w:val="24"/>
              </w:rPr>
              <w:t xml:space="preserve">The Board </w:t>
            </w:r>
            <w:r w:rsidR="00E9292C">
              <w:rPr>
                <w:sz w:val="24"/>
                <w:szCs w:val="24"/>
              </w:rPr>
              <w:t>received</w:t>
            </w:r>
            <w:r w:rsidR="008D110E">
              <w:rPr>
                <w:sz w:val="24"/>
                <w:szCs w:val="24"/>
              </w:rPr>
              <w:t xml:space="preserve"> </w:t>
            </w:r>
            <w:r w:rsidR="00134AE5">
              <w:rPr>
                <w:sz w:val="24"/>
                <w:szCs w:val="24"/>
              </w:rPr>
              <w:t>the BTAS KPI data as required under the terms of its contract with the BSB, and was pleased to note that all indicators showed fully satisfactory performance.</w:t>
            </w:r>
          </w:p>
          <w:p w:rsidR="00134AE5" w:rsidRDefault="00134AE5" w:rsidP="008D110E">
            <w:pPr>
              <w:rPr>
                <w:sz w:val="24"/>
                <w:szCs w:val="24"/>
              </w:rPr>
            </w:pPr>
          </w:p>
          <w:p w:rsidR="007A5EDA" w:rsidRPr="00116EB5" w:rsidRDefault="007A5EDA" w:rsidP="007A5EDA">
            <w:pPr>
              <w:pStyle w:val="PlainText"/>
              <w:rPr>
                <w:b/>
                <w:color w:val="FF0000"/>
                <w:sz w:val="24"/>
                <w:szCs w:val="24"/>
              </w:rPr>
            </w:pPr>
            <w:r>
              <w:rPr>
                <w:sz w:val="24"/>
                <w:szCs w:val="24"/>
              </w:rPr>
              <w:t xml:space="preserve">The </w:t>
            </w:r>
            <w:r w:rsidR="00134AE5">
              <w:rPr>
                <w:sz w:val="24"/>
                <w:szCs w:val="24"/>
              </w:rPr>
              <w:t xml:space="preserve">KPI details presented regarding 3-person and 5-person Panels prompted a wider discussion on the current </w:t>
            </w:r>
            <w:r>
              <w:rPr>
                <w:sz w:val="24"/>
                <w:szCs w:val="24"/>
              </w:rPr>
              <w:t>‘</w:t>
            </w:r>
            <w:r w:rsidR="00134AE5">
              <w:rPr>
                <w:sz w:val="24"/>
                <w:szCs w:val="24"/>
              </w:rPr>
              <w:t>two-tier</w:t>
            </w:r>
            <w:r>
              <w:rPr>
                <w:sz w:val="24"/>
                <w:szCs w:val="24"/>
              </w:rPr>
              <w:t>’</w:t>
            </w:r>
            <w:r w:rsidR="00134AE5">
              <w:rPr>
                <w:sz w:val="24"/>
                <w:szCs w:val="24"/>
              </w:rPr>
              <w:t xml:space="preserve"> Tribunal system.</w:t>
            </w:r>
            <w:r w:rsidR="00F62A2B" w:rsidRPr="007A5EDA">
              <w:rPr>
                <w:sz w:val="24"/>
                <w:szCs w:val="24"/>
              </w:rPr>
              <w:t xml:space="preserve">  </w:t>
            </w:r>
            <w:r>
              <w:rPr>
                <w:sz w:val="24"/>
                <w:szCs w:val="24"/>
              </w:rPr>
              <w:t xml:space="preserve">Members of the SAB questioned </w:t>
            </w:r>
            <w:r w:rsidRPr="007A5EDA">
              <w:rPr>
                <w:sz w:val="24"/>
                <w:szCs w:val="24"/>
              </w:rPr>
              <w:t xml:space="preserve">why there </w:t>
            </w:r>
            <w:r>
              <w:rPr>
                <w:sz w:val="24"/>
                <w:szCs w:val="24"/>
              </w:rPr>
              <w:t xml:space="preserve">are </w:t>
            </w:r>
            <w:r w:rsidRPr="007A5EDA">
              <w:rPr>
                <w:sz w:val="24"/>
                <w:szCs w:val="24"/>
              </w:rPr>
              <w:t>5 person</w:t>
            </w:r>
            <w:r>
              <w:rPr>
                <w:sz w:val="24"/>
                <w:szCs w:val="24"/>
              </w:rPr>
              <w:t xml:space="preserve"> panels at all, instead of all panels</w:t>
            </w:r>
            <w:r w:rsidRPr="007A5EDA">
              <w:rPr>
                <w:sz w:val="24"/>
                <w:szCs w:val="24"/>
              </w:rPr>
              <w:t xml:space="preserve"> being </w:t>
            </w:r>
            <w:r>
              <w:rPr>
                <w:sz w:val="24"/>
                <w:szCs w:val="24"/>
              </w:rPr>
              <w:t xml:space="preserve">composed of 3 people, regardless of the charge being </w:t>
            </w:r>
            <w:r w:rsidRPr="004A15A9">
              <w:rPr>
                <w:sz w:val="24"/>
                <w:szCs w:val="24"/>
              </w:rPr>
              <w:t xml:space="preserve">considered. It was </w:t>
            </w:r>
            <w:r w:rsidR="00BC718C" w:rsidRPr="004A15A9">
              <w:rPr>
                <w:sz w:val="24"/>
                <w:szCs w:val="24"/>
              </w:rPr>
              <w:t xml:space="preserve">stated </w:t>
            </w:r>
            <w:r w:rsidRPr="004A15A9">
              <w:rPr>
                <w:sz w:val="24"/>
                <w:szCs w:val="24"/>
              </w:rPr>
              <w:t xml:space="preserve">that this would be in line with </w:t>
            </w:r>
            <w:r w:rsidR="002E3B1D" w:rsidRPr="004A15A9">
              <w:rPr>
                <w:sz w:val="24"/>
                <w:szCs w:val="24"/>
              </w:rPr>
              <w:t xml:space="preserve">the practice of </w:t>
            </w:r>
            <w:r w:rsidRPr="004A15A9">
              <w:rPr>
                <w:sz w:val="24"/>
                <w:szCs w:val="24"/>
              </w:rPr>
              <w:t xml:space="preserve">other regulators, and reference was made to the GMC having 3-person panels in all cases. Members of </w:t>
            </w:r>
            <w:r w:rsidR="00BC718C" w:rsidRPr="004A15A9">
              <w:rPr>
                <w:sz w:val="24"/>
                <w:szCs w:val="24"/>
              </w:rPr>
              <w:t xml:space="preserve">the SAB felt that such a change was worth further consideration as a strategic issue for the future.  The Board agreed that based on the experience of other bodies it </w:t>
            </w:r>
            <w:r w:rsidRPr="004A15A9">
              <w:rPr>
                <w:sz w:val="24"/>
                <w:szCs w:val="24"/>
              </w:rPr>
              <w:t xml:space="preserve">was unlikely to have any </w:t>
            </w:r>
            <w:r w:rsidR="00BC718C" w:rsidRPr="004A15A9">
              <w:rPr>
                <w:sz w:val="24"/>
                <w:szCs w:val="24"/>
              </w:rPr>
              <w:t xml:space="preserve">adverse </w:t>
            </w:r>
            <w:r w:rsidRPr="004A15A9">
              <w:rPr>
                <w:sz w:val="24"/>
                <w:szCs w:val="24"/>
              </w:rPr>
              <w:t>impact on the quality of the panel's decision-making</w:t>
            </w:r>
            <w:r w:rsidR="004A15A9" w:rsidRPr="004A15A9">
              <w:rPr>
                <w:sz w:val="24"/>
                <w:szCs w:val="24"/>
              </w:rPr>
              <w:t xml:space="preserve">. </w:t>
            </w:r>
            <w:r w:rsidR="00BC718C" w:rsidRPr="004A15A9">
              <w:rPr>
                <w:sz w:val="24"/>
                <w:szCs w:val="24"/>
              </w:rPr>
              <w:t xml:space="preserve">However </w:t>
            </w:r>
            <w:r w:rsidR="004A15A9">
              <w:rPr>
                <w:sz w:val="24"/>
                <w:szCs w:val="24"/>
              </w:rPr>
              <w:t xml:space="preserve">an </w:t>
            </w:r>
            <w:r w:rsidRPr="004A15A9">
              <w:rPr>
                <w:sz w:val="24"/>
                <w:szCs w:val="24"/>
              </w:rPr>
              <w:t xml:space="preserve">evidence base </w:t>
            </w:r>
            <w:r w:rsidR="00BC718C" w:rsidRPr="004A15A9">
              <w:rPr>
                <w:sz w:val="24"/>
                <w:szCs w:val="24"/>
              </w:rPr>
              <w:t>sh</w:t>
            </w:r>
            <w:r w:rsidRPr="004A15A9">
              <w:rPr>
                <w:sz w:val="24"/>
                <w:szCs w:val="24"/>
              </w:rPr>
              <w:t>oul</w:t>
            </w:r>
            <w:r w:rsidR="004A15A9" w:rsidRPr="004A15A9">
              <w:rPr>
                <w:sz w:val="24"/>
                <w:szCs w:val="24"/>
              </w:rPr>
              <w:t>d be researched and established</w:t>
            </w:r>
            <w:r w:rsidRPr="004A15A9">
              <w:rPr>
                <w:sz w:val="24"/>
                <w:szCs w:val="24"/>
              </w:rPr>
              <w:t xml:space="preserve"> </w:t>
            </w:r>
            <w:r w:rsidR="00BC718C" w:rsidRPr="004A15A9">
              <w:rPr>
                <w:sz w:val="24"/>
                <w:szCs w:val="24"/>
              </w:rPr>
              <w:t xml:space="preserve">to demonstrate </w:t>
            </w:r>
            <w:r w:rsidRPr="004A15A9">
              <w:rPr>
                <w:sz w:val="24"/>
                <w:szCs w:val="24"/>
              </w:rPr>
              <w:t>this</w:t>
            </w:r>
            <w:r>
              <w:rPr>
                <w:sz w:val="24"/>
                <w:szCs w:val="24"/>
              </w:rPr>
              <w:t>.</w:t>
            </w:r>
            <w:r w:rsidR="00116EB5">
              <w:rPr>
                <w:sz w:val="24"/>
                <w:szCs w:val="24"/>
              </w:rPr>
              <w:t xml:space="preserve"> </w:t>
            </w:r>
            <w:r w:rsidR="00116EB5" w:rsidRPr="00116EB5">
              <w:rPr>
                <w:b/>
                <w:color w:val="FF0000"/>
                <w:sz w:val="24"/>
                <w:szCs w:val="24"/>
              </w:rPr>
              <w:t>Action</w:t>
            </w:r>
            <w:r w:rsidR="002E3B1D">
              <w:rPr>
                <w:b/>
                <w:color w:val="FF0000"/>
                <w:sz w:val="24"/>
                <w:szCs w:val="24"/>
              </w:rPr>
              <w:t xml:space="preserve"> 2</w:t>
            </w:r>
            <w:r w:rsidR="00116EB5" w:rsidRPr="00116EB5">
              <w:rPr>
                <w:b/>
                <w:color w:val="FF0000"/>
                <w:sz w:val="24"/>
                <w:szCs w:val="24"/>
              </w:rPr>
              <w:t>: AR</w:t>
            </w:r>
          </w:p>
          <w:p w:rsidR="004127F2" w:rsidRDefault="004127F2" w:rsidP="007A5EDA">
            <w:pPr>
              <w:pStyle w:val="PlainText"/>
              <w:rPr>
                <w:sz w:val="24"/>
                <w:szCs w:val="24"/>
              </w:rPr>
            </w:pPr>
          </w:p>
          <w:p w:rsidR="007A5EDA" w:rsidRDefault="004127F2" w:rsidP="007A5EDA">
            <w:pPr>
              <w:pStyle w:val="PlainText"/>
              <w:rPr>
                <w:sz w:val="24"/>
                <w:szCs w:val="24"/>
              </w:rPr>
            </w:pPr>
            <w:r>
              <w:rPr>
                <w:sz w:val="24"/>
                <w:szCs w:val="24"/>
              </w:rPr>
              <w:t xml:space="preserve">Such a change was felt to offer many advantages, such as probable significant </w:t>
            </w:r>
            <w:r w:rsidR="007A5EDA" w:rsidRPr="007A5EDA">
              <w:rPr>
                <w:sz w:val="24"/>
                <w:szCs w:val="24"/>
              </w:rPr>
              <w:t>reduction</w:t>
            </w:r>
            <w:r>
              <w:rPr>
                <w:sz w:val="24"/>
                <w:szCs w:val="24"/>
              </w:rPr>
              <w:t>s</w:t>
            </w:r>
            <w:r w:rsidR="007A5EDA" w:rsidRPr="007A5EDA">
              <w:rPr>
                <w:sz w:val="24"/>
                <w:szCs w:val="24"/>
              </w:rPr>
              <w:t xml:space="preserve"> in delays </w:t>
            </w:r>
            <w:r>
              <w:rPr>
                <w:sz w:val="24"/>
                <w:szCs w:val="24"/>
              </w:rPr>
              <w:t>reconvening panels after an adjournment</w:t>
            </w:r>
            <w:r w:rsidR="007A5EDA" w:rsidRPr="007A5EDA">
              <w:rPr>
                <w:sz w:val="24"/>
                <w:szCs w:val="24"/>
              </w:rPr>
              <w:t xml:space="preserve">. </w:t>
            </w:r>
            <w:r>
              <w:rPr>
                <w:sz w:val="24"/>
                <w:szCs w:val="24"/>
              </w:rPr>
              <w:t>In the same way, SAB Members</w:t>
            </w:r>
            <w:r w:rsidR="007A5EDA" w:rsidRPr="007A5EDA">
              <w:rPr>
                <w:sz w:val="24"/>
                <w:szCs w:val="24"/>
              </w:rPr>
              <w:t xml:space="preserve"> </w:t>
            </w:r>
            <w:r>
              <w:rPr>
                <w:sz w:val="24"/>
                <w:szCs w:val="24"/>
              </w:rPr>
              <w:t>noted</w:t>
            </w:r>
            <w:r w:rsidR="007A5EDA" w:rsidRPr="007A5EDA">
              <w:rPr>
                <w:sz w:val="24"/>
                <w:szCs w:val="24"/>
              </w:rPr>
              <w:t xml:space="preserve"> that this change </w:t>
            </w:r>
            <w:r w:rsidR="007A5EDA" w:rsidRPr="007A5EDA">
              <w:rPr>
                <w:sz w:val="24"/>
                <w:szCs w:val="24"/>
              </w:rPr>
              <w:lastRenderedPageBreak/>
              <w:t xml:space="preserve">would avoid the unsatisfactory situation </w:t>
            </w:r>
            <w:r>
              <w:rPr>
                <w:sz w:val="24"/>
                <w:szCs w:val="24"/>
              </w:rPr>
              <w:t xml:space="preserve">at present </w:t>
            </w:r>
            <w:r w:rsidR="007A5EDA" w:rsidRPr="007A5EDA">
              <w:rPr>
                <w:sz w:val="24"/>
                <w:szCs w:val="24"/>
              </w:rPr>
              <w:t>whereby a 3 person panel sometimes decides the case is so serious that it needs to refer the matter to a (wholly new) 5 person panel where the case is reheard, with all the associated delays this causes.</w:t>
            </w:r>
            <w:r w:rsidRPr="007A5EDA">
              <w:rPr>
                <w:sz w:val="24"/>
                <w:szCs w:val="24"/>
              </w:rPr>
              <w:t xml:space="preserve"> </w:t>
            </w:r>
            <w:r>
              <w:rPr>
                <w:sz w:val="24"/>
                <w:szCs w:val="24"/>
              </w:rPr>
              <w:t>Finally, it was noted that this c</w:t>
            </w:r>
            <w:r w:rsidRPr="007A5EDA">
              <w:rPr>
                <w:sz w:val="24"/>
                <w:szCs w:val="24"/>
              </w:rPr>
              <w:t xml:space="preserve">ould also end the oddity whereby 5 person panels have judicial chairs, and 3 person panels don't </w:t>
            </w:r>
            <w:r>
              <w:rPr>
                <w:sz w:val="24"/>
                <w:szCs w:val="24"/>
              </w:rPr>
              <w:t>–</w:t>
            </w:r>
            <w:r w:rsidRPr="007A5EDA">
              <w:rPr>
                <w:sz w:val="24"/>
                <w:szCs w:val="24"/>
              </w:rPr>
              <w:t xml:space="preserve"> </w:t>
            </w:r>
            <w:r w:rsidR="00116EB5">
              <w:rPr>
                <w:sz w:val="24"/>
                <w:szCs w:val="24"/>
              </w:rPr>
              <w:t>enabling greater consistency in</w:t>
            </w:r>
            <w:r>
              <w:rPr>
                <w:sz w:val="24"/>
                <w:szCs w:val="24"/>
              </w:rPr>
              <w:t xml:space="preserve"> panel membership.</w:t>
            </w:r>
          </w:p>
          <w:p w:rsidR="00116EB5" w:rsidRDefault="00116EB5" w:rsidP="007A5EDA">
            <w:pPr>
              <w:pStyle w:val="PlainText"/>
              <w:rPr>
                <w:sz w:val="24"/>
                <w:szCs w:val="24"/>
              </w:rPr>
            </w:pPr>
          </w:p>
          <w:p w:rsidR="00116EB5" w:rsidRPr="00116EB5" w:rsidRDefault="00116EB5" w:rsidP="007A5EDA">
            <w:pPr>
              <w:pStyle w:val="PlainText"/>
              <w:rPr>
                <w:sz w:val="24"/>
                <w:szCs w:val="24"/>
              </w:rPr>
            </w:pPr>
            <w:r>
              <w:rPr>
                <w:sz w:val="24"/>
                <w:szCs w:val="24"/>
              </w:rPr>
              <w:t xml:space="preserve">It was agreed that the matter should be considered in more detail at the next SAB meeting, and that in the meantime the Registrar should bring the matter to the attention of the BSB as part of their current review of the </w:t>
            </w:r>
            <w:r>
              <w:rPr>
                <w:i/>
                <w:sz w:val="24"/>
                <w:szCs w:val="24"/>
              </w:rPr>
              <w:t>Disciplinary Tribunal Regulations.</w:t>
            </w:r>
            <w:r>
              <w:rPr>
                <w:sz w:val="24"/>
                <w:szCs w:val="24"/>
              </w:rPr>
              <w:t xml:space="preserve"> It was also agreed that financial considerations should not be a factor in any discussions on this topic. </w:t>
            </w:r>
            <w:r>
              <w:rPr>
                <w:i/>
                <w:sz w:val="24"/>
                <w:szCs w:val="24"/>
              </w:rPr>
              <w:t xml:space="preserve"> </w:t>
            </w:r>
            <w:r w:rsidRPr="002E3B1D">
              <w:rPr>
                <w:b/>
                <w:color w:val="FF0000"/>
                <w:sz w:val="24"/>
                <w:szCs w:val="24"/>
              </w:rPr>
              <w:t>Action</w:t>
            </w:r>
            <w:r w:rsidR="002E3B1D">
              <w:rPr>
                <w:b/>
                <w:color w:val="FF0000"/>
                <w:sz w:val="24"/>
                <w:szCs w:val="24"/>
              </w:rPr>
              <w:t xml:space="preserve"> 3</w:t>
            </w:r>
            <w:r w:rsidRPr="002E3B1D">
              <w:rPr>
                <w:b/>
                <w:color w:val="FF0000"/>
                <w:sz w:val="24"/>
                <w:szCs w:val="24"/>
              </w:rPr>
              <w:t>: AR</w:t>
            </w:r>
          </w:p>
          <w:p w:rsidR="00116EB5" w:rsidRDefault="00116EB5" w:rsidP="007A5EDA">
            <w:pPr>
              <w:pStyle w:val="PlainText"/>
              <w:rPr>
                <w:sz w:val="24"/>
                <w:szCs w:val="24"/>
              </w:rPr>
            </w:pPr>
          </w:p>
          <w:p w:rsidR="004127F2" w:rsidRDefault="00116EB5" w:rsidP="007A5EDA">
            <w:pPr>
              <w:pStyle w:val="PlainText"/>
              <w:rPr>
                <w:sz w:val="24"/>
                <w:szCs w:val="24"/>
              </w:rPr>
            </w:pPr>
            <w:r>
              <w:rPr>
                <w:sz w:val="24"/>
                <w:szCs w:val="24"/>
              </w:rPr>
              <w:t xml:space="preserve">The Registrar introduced recently developed </w:t>
            </w:r>
            <w:r w:rsidR="00344F5A">
              <w:rPr>
                <w:sz w:val="24"/>
                <w:szCs w:val="24"/>
              </w:rPr>
              <w:t xml:space="preserve">wholly new </w:t>
            </w:r>
            <w:r>
              <w:rPr>
                <w:sz w:val="24"/>
                <w:szCs w:val="24"/>
              </w:rPr>
              <w:t xml:space="preserve">KPIS, which provided information on time to completion of hearings, current BTAS workloads, and the number of hearings attended by panellists. </w:t>
            </w:r>
            <w:r w:rsidR="00AB103E">
              <w:rPr>
                <w:sz w:val="24"/>
                <w:szCs w:val="24"/>
              </w:rPr>
              <w:t xml:space="preserve"> The SAB welcomed the additional information and the format in which it was </w:t>
            </w:r>
            <w:r w:rsidR="00344F5A">
              <w:rPr>
                <w:sz w:val="24"/>
                <w:szCs w:val="24"/>
              </w:rPr>
              <w:t>presented</w:t>
            </w:r>
            <w:r w:rsidR="00AB103E">
              <w:rPr>
                <w:sz w:val="24"/>
                <w:szCs w:val="24"/>
              </w:rPr>
              <w:t>, and felt that this enabled them to have a far greater understanding about BTAS’s process</w:t>
            </w:r>
            <w:r w:rsidR="00344F5A">
              <w:rPr>
                <w:sz w:val="24"/>
                <w:szCs w:val="24"/>
              </w:rPr>
              <w:t>es</w:t>
            </w:r>
            <w:r w:rsidR="00AB103E">
              <w:rPr>
                <w:sz w:val="24"/>
                <w:szCs w:val="24"/>
              </w:rPr>
              <w:t xml:space="preserve"> and performance. It was agreed that these KPIs would now be developed to allow trends over time to be readily identified, and the BSB requested that a commentary on this</w:t>
            </w:r>
            <w:r w:rsidR="00344F5A">
              <w:rPr>
                <w:sz w:val="24"/>
                <w:szCs w:val="24"/>
              </w:rPr>
              <w:t>,</w:t>
            </w:r>
            <w:r w:rsidR="00AB103E">
              <w:rPr>
                <w:sz w:val="24"/>
                <w:szCs w:val="24"/>
              </w:rPr>
              <w:t xml:space="preserve"> based on the discussions</w:t>
            </w:r>
            <w:r w:rsidR="002E3B1D">
              <w:rPr>
                <w:sz w:val="24"/>
                <w:szCs w:val="24"/>
              </w:rPr>
              <w:t xml:space="preserve"> of</w:t>
            </w:r>
            <w:r w:rsidR="00AB103E">
              <w:rPr>
                <w:sz w:val="24"/>
                <w:szCs w:val="24"/>
              </w:rPr>
              <w:t xml:space="preserve"> the next</w:t>
            </w:r>
            <w:r w:rsidR="00344F5A">
              <w:rPr>
                <w:sz w:val="24"/>
                <w:szCs w:val="24"/>
              </w:rPr>
              <w:t xml:space="preserve"> SAB meeting, be provided for the information of their Board. </w:t>
            </w:r>
            <w:r w:rsidR="00344F5A" w:rsidRPr="002E3B1D">
              <w:rPr>
                <w:b/>
                <w:color w:val="FF0000"/>
                <w:sz w:val="24"/>
                <w:szCs w:val="24"/>
              </w:rPr>
              <w:t>Action</w:t>
            </w:r>
            <w:r w:rsidR="002E3B1D">
              <w:rPr>
                <w:b/>
                <w:color w:val="FF0000"/>
                <w:sz w:val="24"/>
                <w:szCs w:val="24"/>
              </w:rPr>
              <w:t xml:space="preserve"> 4</w:t>
            </w:r>
            <w:r w:rsidR="00344F5A" w:rsidRPr="002E3B1D">
              <w:rPr>
                <w:b/>
                <w:color w:val="FF0000"/>
                <w:sz w:val="24"/>
                <w:szCs w:val="24"/>
              </w:rPr>
              <w:t>: AR</w:t>
            </w:r>
            <w:r w:rsidR="00AB103E" w:rsidRPr="002E3B1D">
              <w:rPr>
                <w:color w:val="FF0000"/>
                <w:sz w:val="24"/>
                <w:szCs w:val="24"/>
              </w:rPr>
              <w:t xml:space="preserve">  </w:t>
            </w:r>
            <w:r w:rsidRPr="002E3B1D">
              <w:rPr>
                <w:color w:val="FF0000"/>
                <w:sz w:val="24"/>
                <w:szCs w:val="24"/>
              </w:rPr>
              <w:t xml:space="preserve"> </w:t>
            </w:r>
          </w:p>
          <w:p w:rsidR="006311F1" w:rsidRDefault="006311F1" w:rsidP="007A5EDA">
            <w:pPr>
              <w:pStyle w:val="PlainText"/>
              <w:rPr>
                <w:sz w:val="24"/>
                <w:szCs w:val="24"/>
              </w:rPr>
            </w:pPr>
          </w:p>
          <w:p w:rsidR="006311F1" w:rsidRPr="006311F1" w:rsidRDefault="006311F1" w:rsidP="007A5EDA">
            <w:pPr>
              <w:pStyle w:val="PlainText"/>
              <w:rPr>
                <w:b/>
                <w:sz w:val="24"/>
                <w:szCs w:val="24"/>
              </w:rPr>
            </w:pPr>
            <w:r>
              <w:rPr>
                <w:sz w:val="24"/>
                <w:szCs w:val="24"/>
              </w:rPr>
              <w:t xml:space="preserve">In terms of future developments, the SAB expressed a desire to have indicators related to equality and diversity issues developed, for example in outcomes by gender, or by UK v foreign-trained barristers. This was likely to require some sharing of personal data between BTAS and the BSB, but the Registrar undertook to consider this and report back at a future SAB meeting. </w:t>
            </w:r>
            <w:r w:rsidRPr="002E3B1D">
              <w:rPr>
                <w:b/>
                <w:color w:val="FF0000"/>
                <w:sz w:val="24"/>
                <w:szCs w:val="24"/>
              </w:rPr>
              <w:t>Action</w:t>
            </w:r>
            <w:r w:rsidR="002E3B1D">
              <w:rPr>
                <w:b/>
                <w:color w:val="FF0000"/>
                <w:sz w:val="24"/>
                <w:szCs w:val="24"/>
              </w:rPr>
              <w:t xml:space="preserve"> 5:</w:t>
            </w:r>
            <w:r w:rsidRPr="002E3B1D">
              <w:rPr>
                <w:b/>
                <w:color w:val="FF0000"/>
                <w:sz w:val="24"/>
                <w:szCs w:val="24"/>
              </w:rPr>
              <w:t xml:space="preserve"> AR</w:t>
            </w:r>
          </w:p>
          <w:p w:rsidR="004127F2" w:rsidRPr="007A5EDA" w:rsidRDefault="004127F2" w:rsidP="007A5EDA">
            <w:pPr>
              <w:pStyle w:val="PlainText"/>
              <w:rPr>
                <w:sz w:val="24"/>
                <w:szCs w:val="24"/>
              </w:rPr>
            </w:pPr>
          </w:p>
          <w:p w:rsidR="0042272E" w:rsidRPr="008001C3" w:rsidRDefault="00C8353F" w:rsidP="00134AE5">
            <w:pPr>
              <w:rPr>
                <w:b/>
                <w:sz w:val="24"/>
                <w:szCs w:val="24"/>
              </w:rPr>
            </w:pPr>
            <w:r>
              <w:rPr>
                <w:i/>
                <w:sz w:val="24"/>
                <w:szCs w:val="24"/>
              </w:rPr>
              <w:t xml:space="preserve"> </w:t>
            </w:r>
            <w:r w:rsidR="00D008BB">
              <w:rPr>
                <w:sz w:val="24"/>
                <w:szCs w:val="24"/>
              </w:rPr>
              <w:t xml:space="preserve">  </w:t>
            </w:r>
          </w:p>
        </w:tc>
        <w:tc>
          <w:tcPr>
            <w:tcW w:w="1337" w:type="dxa"/>
          </w:tcPr>
          <w:p w:rsidR="005E2A67" w:rsidRDefault="005E2A67" w:rsidP="00295B25">
            <w:pPr>
              <w:rPr>
                <w:sz w:val="24"/>
                <w:szCs w:val="24"/>
              </w:rPr>
            </w:pPr>
          </w:p>
          <w:p w:rsidR="00B948CB" w:rsidRDefault="00B948CB" w:rsidP="00295B25">
            <w:pPr>
              <w:rPr>
                <w:sz w:val="24"/>
                <w:szCs w:val="24"/>
              </w:rPr>
            </w:pPr>
          </w:p>
          <w:p w:rsidR="00B948CB" w:rsidRDefault="00DD3DC9" w:rsidP="00295B25">
            <w:pPr>
              <w:rPr>
                <w:sz w:val="24"/>
                <w:szCs w:val="24"/>
              </w:rPr>
            </w:pPr>
            <w:r>
              <w:rPr>
                <w:sz w:val="24"/>
                <w:szCs w:val="24"/>
              </w:rPr>
              <w:t>Annex</w:t>
            </w:r>
            <w:r w:rsidR="008D110E">
              <w:rPr>
                <w:sz w:val="24"/>
                <w:szCs w:val="24"/>
              </w:rPr>
              <w:t>es</w:t>
            </w:r>
            <w:r>
              <w:rPr>
                <w:sz w:val="24"/>
                <w:szCs w:val="24"/>
              </w:rPr>
              <w:t xml:space="preserve"> C</w:t>
            </w:r>
            <w:r w:rsidR="008D110E">
              <w:rPr>
                <w:sz w:val="24"/>
                <w:szCs w:val="24"/>
              </w:rPr>
              <w:t xml:space="preserve"> &amp; </w:t>
            </w:r>
            <w:proofErr w:type="spellStart"/>
            <w:r w:rsidR="008D110E">
              <w:rPr>
                <w:sz w:val="24"/>
                <w:szCs w:val="24"/>
              </w:rPr>
              <w:t>Cii</w:t>
            </w:r>
            <w:proofErr w:type="spellEnd"/>
          </w:p>
          <w:p w:rsidR="00D008BB" w:rsidRDefault="00D008BB" w:rsidP="00295B25">
            <w:pPr>
              <w:rPr>
                <w:sz w:val="24"/>
                <w:szCs w:val="24"/>
              </w:rPr>
            </w:pPr>
          </w:p>
          <w:p w:rsidR="00E9292C" w:rsidRDefault="00E9292C" w:rsidP="00295B25">
            <w:pPr>
              <w:rPr>
                <w:sz w:val="24"/>
                <w:szCs w:val="24"/>
              </w:rPr>
            </w:pPr>
          </w:p>
          <w:p w:rsidR="00E9292C" w:rsidRDefault="00E9292C" w:rsidP="00295B25">
            <w:pPr>
              <w:rPr>
                <w:sz w:val="24"/>
                <w:szCs w:val="24"/>
              </w:rPr>
            </w:pPr>
          </w:p>
          <w:p w:rsidR="00E9292C" w:rsidRDefault="00E9292C" w:rsidP="00295B25">
            <w:pPr>
              <w:rPr>
                <w:sz w:val="24"/>
                <w:szCs w:val="24"/>
              </w:rPr>
            </w:pPr>
          </w:p>
          <w:p w:rsidR="00D008BB" w:rsidRPr="005E2A67" w:rsidRDefault="00D008BB" w:rsidP="00295B25">
            <w:pPr>
              <w:rPr>
                <w:sz w:val="24"/>
                <w:szCs w:val="24"/>
              </w:rPr>
            </w:pPr>
          </w:p>
        </w:tc>
      </w:tr>
      <w:tr w:rsidR="005E2A67" w:rsidTr="00F77D29">
        <w:trPr>
          <w:trHeight w:val="567"/>
        </w:trPr>
        <w:tc>
          <w:tcPr>
            <w:tcW w:w="817" w:type="dxa"/>
          </w:tcPr>
          <w:p w:rsidR="005E2A67" w:rsidRDefault="005E2A67" w:rsidP="00295B25">
            <w:pPr>
              <w:rPr>
                <w:sz w:val="24"/>
                <w:szCs w:val="24"/>
              </w:rPr>
            </w:pPr>
            <w:r w:rsidRPr="005E2A67">
              <w:rPr>
                <w:sz w:val="24"/>
                <w:szCs w:val="24"/>
              </w:rPr>
              <w:lastRenderedPageBreak/>
              <w:t>6</w:t>
            </w:r>
          </w:p>
          <w:p w:rsidR="00F50C01" w:rsidRDefault="00F50C01" w:rsidP="00295B25">
            <w:pPr>
              <w:rPr>
                <w:sz w:val="24"/>
                <w:szCs w:val="24"/>
              </w:rPr>
            </w:pPr>
          </w:p>
          <w:p w:rsidR="00F50C01" w:rsidRDefault="00F50C01" w:rsidP="00295B25">
            <w:pPr>
              <w:rPr>
                <w:sz w:val="24"/>
                <w:szCs w:val="24"/>
              </w:rPr>
            </w:pPr>
            <w:r>
              <w:rPr>
                <w:sz w:val="24"/>
                <w:szCs w:val="24"/>
              </w:rPr>
              <w:t>6.1</w:t>
            </w:r>
          </w:p>
          <w:p w:rsidR="00F50C01" w:rsidRDefault="00F50C01" w:rsidP="00295B25">
            <w:pPr>
              <w:rPr>
                <w:sz w:val="24"/>
                <w:szCs w:val="24"/>
              </w:rPr>
            </w:pPr>
          </w:p>
          <w:p w:rsidR="00F50C01" w:rsidRDefault="00F50C01" w:rsidP="00295B25">
            <w:pPr>
              <w:rPr>
                <w:sz w:val="24"/>
                <w:szCs w:val="24"/>
              </w:rPr>
            </w:pPr>
          </w:p>
          <w:p w:rsidR="00F50C01" w:rsidRDefault="00F50C01" w:rsidP="00295B25">
            <w:pPr>
              <w:rPr>
                <w:sz w:val="24"/>
                <w:szCs w:val="24"/>
              </w:rPr>
            </w:pPr>
          </w:p>
          <w:p w:rsidR="00F50C01" w:rsidRDefault="00F50C01" w:rsidP="00295B25">
            <w:pPr>
              <w:rPr>
                <w:sz w:val="24"/>
                <w:szCs w:val="24"/>
              </w:rPr>
            </w:pPr>
          </w:p>
          <w:p w:rsidR="00F50C01" w:rsidRDefault="00F50C01" w:rsidP="00295B25">
            <w:pPr>
              <w:rPr>
                <w:sz w:val="24"/>
                <w:szCs w:val="24"/>
              </w:rPr>
            </w:pPr>
          </w:p>
          <w:p w:rsidR="00F50C01" w:rsidRDefault="00F50C01" w:rsidP="00295B25">
            <w:pPr>
              <w:rPr>
                <w:sz w:val="24"/>
                <w:szCs w:val="24"/>
              </w:rPr>
            </w:pPr>
          </w:p>
          <w:p w:rsidR="00F50C01" w:rsidRDefault="00F50C01" w:rsidP="00295B25">
            <w:pPr>
              <w:rPr>
                <w:sz w:val="24"/>
                <w:szCs w:val="24"/>
              </w:rPr>
            </w:pPr>
          </w:p>
          <w:p w:rsidR="00F50C01" w:rsidRDefault="00F50C01" w:rsidP="00295B25">
            <w:pPr>
              <w:rPr>
                <w:sz w:val="24"/>
                <w:szCs w:val="24"/>
              </w:rPr>
            </w:pPr>
          </w:p>
          <w:p w:rsidR="00F50C01" w:rsidRDefault="00F50C01" w:rsidP="00295B25">
            <w:pPr>
              <w:rPr>
                <w:sz w:val="24"/>
                <w:szCs w:val="24"/>
              </w:rPr>
            </w:pPr>
          </w:p>
          <w:p w:rsidR="00F50C01" w:rsidRDefault="00F50C01" w:rsidP="00295B25">
            <w:pPr>
              <w:rPr>
                <w:sz w:val="24"/>
                <w:szCs w:val="24"/>
              </w:rPr>
            </w:pPr>
          </w:p>
          <w:p w:rsidR="00F50C01" w:rsidRDefault="00F50C01" w:rsidP="00295B25">
            <w:pPr>
              <w:rPr>
                <w:sz w:val="24"/>
                <w:szCs w:val="24"/>
              </w:rPr>
            </w:pPr>
          </w:p>
          <w:p w:rsidR="00F50C01" w:rsidRDefault="00F50C01" w:rsidP="00295B25">
            <w:pPr>
              <w:rPr>
                <w:sz w:val="24"/>
                <w:szCs w:val="24"/>
              </w:rPr>
            </w:pPr>
          </w:p>
          <w:p w:rsidR="00F50C01" w:rsidRDefault="00F50C01" w:rsidP="00295B25">
            <w:pPr>
              <w:rPr>
                <w:sz w:val="24"/>
                <w:szCs w:val="24"/>
              </w:rPr>
            </w:pPr>
          </w:p>
          <w:p w:rsidR="00F50C01" w:rsidRDefault="00F50C01" w:rsidP="00295B25">
            <w:pPr>
              <w:rPr>
                <w:sz w:val="24"/>
                <w:szCs w:val="24"/>
              </w:rPr>
            </w:pPr>
          </w:p>
          <w:p w:rsidR="00F50C01" w:rsidRDefault="00F50C01" w:rsidP="00295B25">
            <w:pPr>
              <w:rPr>
                <w:sz w:val="24"/>
                <w:szCs w:val="24"/>
              </w:rPr>
            </w:pPr>
          </w:p>
          <w:p w:rsidR="00F50C01" w:rsidRPr="005E2A67" w:rsidRDefault="00F50C01" w:rsidP="00295B25">
            <w:pPr>
              <w:rPr>
                <w:sz w:val="24"/>
                <w:szCs w:val="24"/>
              </w:rPr>
            </w:pPr>
            <w:r>
              <w:rPr>
                <w:sz w:val="24"/>
                <w:szCs w:val="24"/>
              </w:rPr>
              <w:t>6.2</w:t>
            </w:r>
          </w:p>
        </w:tc>
        <w:tc>
          <w:tcPr>
            <w:tcW w:w="7088" w:type="dxa"/>
          </w:tcPr>
          <w:p w:rsidR="005E2A67" w:rsidRDefault="006311F1" w:rsidP="00295B25">
            <w:pPr>
              <w:rPr>
                <w:b/>
                <w:sz w:val="24"/>
                <w:szCs w:val="24"/>
              </w:rPr>
            </w:pPr>
            <w:r>
              <w:rPr>
                <w:b/>
                <w:sz w:val="24"/>
                <w:szCs w:val="24"/>
              </w:rPr>
              <w:lastRenderedPageBreak/>
              <w:t>Library of Resources</w:t>
            </w:r>
          </w:p>
          <w:p w:rsidR="00930DB1" w:rsidRDefault="00930DB1" w:rsidP="00295B25">
            <w:pPr>
              <w:rPr>
                <w:b/>
                <w:sz w:val="24"/>
                <w:szCs w:val="24"/>
              </w:rPr>
            </w:pPr>
          </w:p>
          <w:p w:rsidR="00AF4F4D" w:rsidRDefault="006311F1" w:rsidP="00295B25">
            <w:pPr>
              <w:rPr>
                <w:sz w:val="24"/>
                <w:szCs w:val="24"/>
              </w:rPr>
            </w:pPr>
            <w:r>
              <w:rPr>
                <w:sz w:val="24"/>
                <w:szCs w:val="24"/>
              </w:rPr>
              <w:t>The SAB considered the merits of developing a ‘library’</w:t>
            </w:r>
            <w:r w:rsidR="00AF4F4D">
              <w:rPr>
                <w:sz w:val="24"/>
                <w:szCs w:val="24"/>
              </w:rPr>
              <w:t xml:space="preserve"> of</w:t>
            </w:r>
            <w:r>
              <w:rPr>
                <w:sz w:val="24"/>
                <w:szCs w:val="24"/>
              </w:rPr>
              <w:t xml:space="preserve"> relevan</w:t>
            </w:r>
            <w:r w:rsidR="00AF4F4D">
              <w:rPr>
                <w:sz w:val="24"/>
                <w:szCs w:val="24"/>
              </w:rPr>
              <w:t>t cases on the BTAS website, and acknowledged that the existing resource could seem rather limited for those preparing for a forthcoming hearing.</w:t>
            </w:r>
          </w:p>
          <w:p w:rsidR="00AF4F4D" w:rsidRDefault="00AF4F4D" w:rsidP="00295B25">
            <w:pPr>
              <w:rPr>
                <w:sz w:val="24"/>
                <w:szCs w:val="24"/>
              </w:rPr>
            </w:pPr>
          </w:p>
          <w:p w:rsidR="0032683D" w:rsidRPr="009936FF" w:rsidRDefault="00AF4F4D" w:rsidP="00295B25">
            <w:pPr>
              <w:rPr>
                <w:strike/>
                <w:sz w:val="24"/>
                <w:szCs w:val="24"/>
              </w:rPr>
            </w:pPr>
            <w:r>
              <w:rPr>
                <w:sz w:val="24"/>
                <w:szCs w:val="24"/>
              </w:rPr>
              <w:t xml:space="preserve">However, the SAB stressed that it was crucial that BTAS could not be seen to be </w:t>
            </w:r>
            <w:r w:rsidR="0032683D">
              <w:rPr>
                <w:sz w:val="24"/>
                <w:szCs w:val="24"/>
              </w:rPr>
              <w:t>advising either of the parties attending a Hearing, and that it would be inappropriate for it to provide anything that might be regarded as le</w:t>
            </w:r>
            <w:r w:rsidR="004A15A9">
              <w:rPr>
                <w:sz w:val="24"/>
                <w:szCs w:val="24"/>
              </w:rPr>
              <w:t>gal advice on tribunal matters.</w:t>
            </w:r>
          </w:p>
          <w:p w:rsidR="00F50C01" w:rsidRDefault="00F50C01" w:rsidP="00295B25">
            <w:pPr>
              <w:rPr>
                <w:sz w:val="24"/>
                <w:szCs w:val="24"/>
              </w:rPr>
            </w:pPr>
          </w:p>
          <w:p w:rsidR="00F50C01" w:rsidRDefault="00F50C01" w:rsidP="00295B25">
            <w:pPr>
              <w:rPr>
                <w:sz w:val="24"/>
                <w:szCs w:val="24"/>
              </w:rPr>
            </w:pPr>
            <w:r>
              <w:rPr>
                <w:sz w:val="24"/>
                <w:szCs w:val="24"/>
              </w:rPr>
              <w:t xml:space="preserve">SAB agreed that the primary purpose of the existing resources was to facilitate transparency by providing details of any court case that </w:t>
            </w:r>
            <w:r>
              <w:rPr>
                <w:sz w:val="24"/>
                <w:szCs w:val="24"/>
              </w:rPr>
              <w:lastRenderedPageBreak/>
              <w:t xml:space="preserve">touched on BTAS or its Tribunals from the date it came into existence in 2013. </w:t>
            </w:r>
          </w:p>
          <w:p w:rsidR="0032683D" w:rsidRDefault="0032683D" w:rsidP="00295B25">
            <w:pPr>
              <w:rPr>
                <w:sz w:val="24"/>
                <w:szCs w:val="24"/>
              </w:rPr>
            </w:pPr>
          </w:p>
          <w:p w:rsidR="00DD3DC9" w:rsidRDefault="001C1FE5" w:rsidP="00EA7374">
            <w:pPr>
              <w:rPr>
                <w:rFonts w:cs="Arial"/>
                <w:b/>
                <w:sz w:val="24"/>
                <w:szCs w:val="24"/>
              </w:rPr>
            </w:pPr>
            <w:r>
              <w:rPr>
                <w:sz w:val="24"/>
                <w:szCs w:val="24"/>
              </w:rPr>
              <w:t xml:space="preserve">SAB agreed that there was a need for an effective mechanism for promptly bringing the attention of all panellists to updates in relevant case law, which might include its incorporation into training programmes. The matter was complicated by the fact that it was the BSB, not </w:t>
            </w:r>
            <w:proofErr w:type="gramStart"/>
            <w:r>
              <w:rPr>
                <w:sz w:val="24"/>
                <w:szCs w:val="24"/>
              </w:rPr>
              <w:t>BTAS, that was listed as a respondent in appeal cases,</w:t>
            </w:r>
            <w:proofErr w:type="gramEnd"/>
            <w:r>
              <w:rPr>
                <w:sz w:val="24"/>
                <w:szCs w:val="24"/>
              </w:rPr>
              <w:t xml:space="preserve"> and that BTAS consequently relied on the BSB to keep it informed of which cases were being appealed and their outcomes.  The Director General of the BSB also offered the possibility of sharing the regular legal commentary and analysis on relevant cases that the BSB already has in place, but stressed that this step would have to be carefully considered to ensure it was an appropriate relationship for the BSB and BTAS to </w:t>
            </w:r>
            <w:r w:rsidR="002E3B1D">
              <w:rPr>
                <w:sz w:val="24"/>
                <w:szCs w:val="24"/>
              </w:rPr>
              <w:t>enter into</w:t>
            </w:r>
            <w:r>
              <w:rPr>
                <w:sz w:val="24"/>
                <w:szCs w:val="24"/>
              </w:rPr>
              <w:t xml:space="preserve">. The Registrar agreed to follow this up with the </w:t>
            </w:r>
            <w:r w:rsidR="00EA7374">
              <w:rPr>
                <w:rFonts w:cs="Arial"/>
                <w:sz w:val="24"/>
                <w:szCs w:val="24"/>
              </w:rPr>
              <w:t xml:space="preserve">BSB’s Investigations and Hearings Team Manager. </w:t>
            </w:r>
            <w:r w:rsidR="00EA7374" w:rsidRPr="002E3B1D">
              <w:rPr>
                <w:rFonts w:cs="Arial"/>
                <w:b/>
                <w:color w:val="FF0000"/>
                <w:sz w:val="24"/>
                <w:szCs w:val="24"/>
              </w:rPr>
              <w:t>Action</w:t>
            </w:r>
            <w:r w:rsidR="007469FD">
              <w:rPr>
                <w:rFonts w:cs="Arial"/>
                <w:b/>
                <w:color w:val="FF0000"/>
                <w:sz w:val="24"/>
                <w:szCs w:val="24"/>
              </w:rPr>
              <w:t xml:space="preserve"> 6</w:t>
            </w:r>
            <w:r w:rsidR="00EA7374" w:rsidRPr="002E3B1D">
              <w:rPr>
                <w:rFonts w:cs="Arial"/>
                <w:b/>
                <w:color w:val="FF0000"/>
                <w:sz w:val="24"/>
                <w:szCs w:val="24"/>
              </w:rPr>
              <w:t>: AR</w:t>
            </w:r>
          </w:p>
          <w:p w:rsidR="00EA7374" w:rsidRPr="00EA7374" w:rsidRDefault="00EA7374" w:rsidP="00EA7374">
            <w:pPr>
              <w:rPr>
                <w:b/>
                <w:sz w:val="24"/>
                <w:szCs w:val="24"/>
              </w:rPr>
            </w:pPr>
          </w:p>
        </w:tc>
        <w:tc>
          <w:tcPr>
            <w:tcW w:w="1337" w:type="dxa"/>
          </w:tcPr>
          <w:p w:rsidR="005E2A67" w:rsidRDefault="005E2A67" w:rsidP="00295B25">
            <w:pPr>
              <w:rPr>
                <w:sz w:val="24"/>
                <w:szCs w:val="24"/>
              </w:rPr>
            </w:pPr>
          </w:p>
          <w:p w:rsidR="00EA7374" w:rsidRDefault="00EA7374" w:rsidP="00295B25">
            <w:pPr>
              <w:rPr>
                <w:sz w:val="24"/>
                <w:szCs w:val="24"/>
              </w:rPr>
            </w:pPr>
          </w:p>
          <w:p w:rsidR="00EA7374" w:rsidRPr="005E2A67" w:rsidRDefault="00EA7374" w:rsidP="00295B25">
            <w:pPr>
              <w:rPr>
                <w:sz w:val="24"/>
                <w:szCs w:val="24"/>
              </w:rPr>
            </w:pPr>
            <w:r>
              <w:rPr>
                <w:sz w:val="24"/>
                <w:szCs w:val="24"/>
              </w:rPr>
              <w:t>Annex D</w:t>
            </w:r>
          </w:p>
        </w:tc>
      </w:tr>
      <w:tr w:rsidR="005E2A67" w:rsidTr="00F77D29">
        <w:trPr>
          <w:trHeight w:val="567"/>
        </w:trPr>
        <w:tc>
          <w:tcPr>
            <w:tcW w:w="817" w:type="dxa"/>
          </w:tcPr>
          <w:p w:rsidR="005E2A67" w:rsidRDefault="005E2A67" w:rsidP="00295B25">
            <w:pPr>
              <w:rPr>
                <w:sz w:val="24"/>
                <w:szCs w:val="24"/>
              </w:rPr>
            </w:pPr>
            <w:r w:rsidRPr="005E2A67">
              <w:rPr>
                <w:sz w:val="24"/>
                <w:szCs w:val="24"/>
              </w:rPr>
              <w:lastRenderedPageBreak/>
              <w:t>7</w:t>
            </w:r>
          </w:p>
          <w:p w:rsidR="00D802E1" w:rsidRDefault="00D802E1" w:rsidP="00295B25">
            <w:pPr>
              <w:rPr>
                <w:sz w:val="24"/>
                <w:szCs w:val="24"/>
              </w:rPr>
            </w:pPr>
          </w:p>
          <w:p w:rsidR="00D802E1" w:rsidRPr="005E2A67" w:rsidRDefault="00D802E1" w:rsidP="00295B25">
            <w:pPr>
              <w:rPr>
                <w:sz w:val="24"/>
                <w:szCs w:val="24"/>
              </w:rPr>
            </w:pPr>
            <w:r>
              <w:rPr>
                <w:sz w:val="24"/>
                <w:szCs w:val="24"/>
              </w:rPr>
              <w:t>7.1</w:t>
            </w:r>
          </w:p>
        </w:tc>
        <w:tc>
          <w:tcPr>
            <w:tcW w:w="7088" w:type="dxa"/>
          </w:tcPr>
          <w:p w:rsidR="005E2A67" w:rsidRDefault="00EA7374" w:rsidP="00295B25">
            <w:pPr>
              <w:rPr>
                <w:b/>
                <w:sz w:val="24"/>
                <w:szCs w:val="24"/>
              </w:rPr>
            </w:pPr>
            <w:r>
              <w:rPr>
                <w:b/>
                <w:sz w:val="24"/>
                <w:szCs w:val="24"/>
              </w:rPr>
              <w:t xml:space="preserve">Draft </w:t>
            </w:r>
            <w:r w:rsidR="00FA0A60">
              <w:rPr>
                <w:b/>
                <w:sz w:val="24"/>
                <w:szCs w:val="24"/>
              </w:rPr>
              <w:t>Inns</w:t>
            </w:r>
            <w:r>
              <w:rPr>
                <w:b/>
                <w:sz w:val="24"/>
                <w:szCs w:val="24"/>
              </w:rPr>
              <w:t>’</w:t>
            </w:r>
            <w:r w:rsidR="00FA0A60">
              <w:rPr>
                <w:b/>
                <w:sz w:val="24"/>
                <w:szCs w:val="24"/>
              </w:rPr>
              <w:t xml:space="preserve"> Conduct Committee </w:t>
            </w:r>
            <w:r>
              <w:rPr>
                <w:b/>
                <w:sz w:val="24"/>
                <w:szCs w:val="24"/>
              </w:rPr>
              <w:t>Rules</w:t>
            </w:r>
          </w:p>
          <w:p w:rsidR="00FA0A60" w:rsidRDefault="00FA0A60" w:rsidP="00295B25">
            <w:pPr>
              <w:rPr>
                <w:b/>
                <w:sz w:val="24"/>
                <w:szCs w:val="24"/>
              </w:rPr>
            </w:pPr>
          </w:p>
          <w:p w:rsidR="00DD3DC9" w:rsidRDefault="00D802E1" w:rsidP="00EA7374">
            <w:pPr>
              <w:rPr>
                <w:sz w:val="24"/>
                <w:szCs w:val="24"/>
              </w:rPr>
            </w:pPr>
            <w:r>
              <w:rPr>
                <w:sz w:val="24"/>
                <w:szCs w:val="24"/>
              </w:rPr>
              <w:t>The SAB reviewed the summary of key changes and accepted the recommendations of the ICC Review Group with the following comments:</w:t>
            </w:r>
          </w:p>
          <w:p w:rsidR="00D802E1" w:rsidRDefault="00D802E1" w:rsidP="00EA7374">
            <w:pPr>
              <w:rPr>
                <w:sz w:val="24"/>
                <w:szCs w:val="24"/>
              </w:rPr>
            </w:pPr>
          </w:p>
          <w:p w:rsidR="00D802E1" w:rsidRDefault="00D802E1" w:rsidP="00D802E1">
            <w:pPr>
              <w:pStyle w:val="ListParagraph"/>
              <w:numPr>
                <w:ilvl w:val="0"/>
                <w:numId w:val="4"/>
              </w:numPr>
              <w:ind w:hanging="184"/>
              <w:rPr>
                <w:sz w:val="24"/>
                <w:szCs w:val="24"/>
              </w:rPr>
            </w:pPr>
            <w:r>
              <w:rPr>
                <w:sz w:val="24"/>
                <w:szCs w:val="24"/>
              </w:rPr>
              <w:t xml:space="preserve">SAB agreed with the recommendation that ICC hearings would normally be in private, and noted that this was comparable to Fitness to Practice Hearings held regarding students in University Medical Schools.  </w:t>
            </w:r>
          </w:p>
          <w:p w:rsidR="00EA08B6" w:rsidRDefault="00EA08B6" w:rsidP="00EA08B6">
            <w:pPr>
              <w:pStyle w:val="ListParagraph"/>
              <w:ind w:left="360"/>
              <w:rPr>
                <w:sz w:val="24"/>
                <w:szCs w:val="24"/>
              </w:rPr>
            </w:pPr>
          </w:p>
          <w:p w:rsidR="00D802E1" w:rsidRDefault="00D802E1" w:rsidP="00EA08B6">
            <w:pPr>
              <w:pStyle w:val="ListParagraph"/>
              <w:numPr>
                <w:ilvl w:val="0"/>
                <w:numId w:val="4"/>
              </w:numPr>
              <w:ind w:hanging="184"/>
              <w:rPr>
                <w:sz w:val="24"/>
                <w:szCs w:val="24"/>
              </w:rPr>
            </w:pPr>
            <w:r>
              <w:rPr>
                <w:sz w:val="24"/>
                <w:szCs w:val="24"/>
              </w:rPr>
              <w:t xml:space="preserve">The recommendation to disband the ICC’s existing membership so that future Hearings would be conducted by members of the (separate) Disciplinary Tribunal Pool was questioned on the grounds that this was likely to be regarded as unfair by the ICC, and that it might appear more equitable to merge the two Panels in some way. However, SAB was reminded that the </w:t>
            </w:r>
            <w:r w:rsidR="002E3B1D">
              <w:rPr>
                <w:sz w:val="24"/>
                <w:szCs w:val="24"/>
              </w:rPr>
              <w:t xml:space="preserve">membership of the </w:t>
            </w:r>
            <w:r>
              <w:rPr>
                <w:sz w:val="24"/>
                <w:szCs w:val="24"/>
              </w:rPr>
              <w:t xml:space="preserve">DT pool had been entirely been </w:t>
            </w:r>
            <w:r w:rsidR="00EA08B6">
              <w:rPr>
                <w:sz w:val="24"/>
                <w:szCs w:val="24"/>
              </w:rPr>
              <w:t xml:space="preserve">renewed in 2013 following the Browne Review, that each pool-member had been appointed following an open recruitment exercise, and that all members of the pool were trained and liable to appraisal. In contrast the ICC had not undergone any change of membership post-Browne, that some panellists had been members for nearly ten years, </w:t>
            </w:r>
            <w:r w:rsidR="002E3B1D">
              <w:rPr>
                <w:sz w:val="24"/>
                <w:szCs w:val="24"/>
              </w:rPr>
              <w:t xml:space="preserve">and </w:t>
            </w:r>
            <w:r w:rsidR="00EA08B6">
              <w:rPr>
                <w:sz w:val="24"/>
                <w:szCs w:val="24"/>
              </w:rPr>
              <w:t xml:space="preserve">that the selection process previously used was not always transparent or </w:t>
            </w:r>
            <w:r w:rsidR="002E3B1D">
              <w:rPr>
                <w:sz w:val="24"/>
                <w:szCs w:val="24"/>
              </w:rPr>
              <w:t>recorded</w:t>
            </w:r>
            <w:r w:rsidR="00EA08B6">
              <w:rPr>
                <w:sz w:val="24"/>
                <w:szCs w:val="24"/>
              </w:rPr>
              <w:t>. Further</w:t>
            </w:r>
            <w:r w:rsidR="002E3B1D">
              <w:rPr>
                <w:sz w:val="24"/>
                <w:szCs w:val="24"/>
              </w:rPr>
              <w:t>,</w:t>
            </w:r>
            <w:r w:rsidR="00EA08B6">
              <w:rPr>
                <w:sz w:val="24"/>
                <w:szCs w:val="24"/>
              </w:rPr>
              <w:t xml:space="preserve"> ICC panel members were not trained or appraised. In the light of this the SAB fully endorsed the </w:t>
            </w:r>
            <w:r w:rsidR="00EA08B6" w:rsidRPr="004A15A9">
              <w:rPr>
                <w:sz w:val="24"/>
                <w:szCs w:val="24"/>
              </w:rPr>
              <w:t xml:space="preserve">recommendation, but stressed that it would need to be carefully </w:t>
            </w:r>
            <w:r w:rsidR="009936FF" w:rsidRPr="004A15A9">
              <w:rPr>
                <w:sz w:val="24"/>
                <w:szCs w:val="24"/>
              </w:rPr>
              <w:t xml:space="preserve">and sensitively </w:t>
            </w:r>
            <w:r w:rsidR="00EA08B6">
              <w:rPr>
                <w:sz w:val="24"/>
                <w:szCs w:val="24"/>
              </w:rPr>
              <w:t xml:space="preserve">communicated </w:t>
            </w:r>
            <w:r w:rsidR="003115D2">
              <w:rPr>
                <w:sz w:val="24"/>
                <w:szCs w:val="24"/>
              </w:rPr>
              <w:t xml:space="preserve">with the reasoning behind the decision made very clear. Moreover, while the </w:t>
            </w:r>
            <w:r w:rsidR="003115D2" w:rsidRPr="003115D2">
              <w:rPr>
                <w:i/>
                <w:sz w:val="24"/>
                <w:szCs w:val="24"/>
              </w:rPr>
              <w:t>existing ICC</w:t>
            </w:r>
            <w:r w:rsidR="003115D2">
              <w:rPr>
                <w:sz w:val="24"/>
                <w:szCs w:val="24"/>
              </w:rPr>
              <w:t xml:space="preserve"> was no longer needed its </w:t>
            </w:r>
            <w:r w:rsidR="003115D2" w:rsidRPr="003115D2">
              <w:rPr>
                <w:i/>
                <w:sz w:val="24"/>
                <w:szCs w:val="24"/>
              </w:rPr>
              <w:t>individual members</w:t>
            </w:r>
            <w:r w:rsidR="003115D2">
              <w:rPr>
                <w:sz w:val="24"/>
                <w:szCs w:val="24"/>
              </w:rPr>
              <w:t xml:space="preserve"> could apply to become members of the Disciplinary pool themselves. In any case, it was </w:t>
            </w:r>
            <w:r w:rsidR="003115D2">
              <w:rPr>
                <w:sz w:val="24"/>
                <w:szCs w:val="24"/>
              </w:rPr>
              <w:lastRenderedPageBreak/>
              <w:t xml:space="preserve">suggested that it would be important for the President to write and thank all ICC members for their service. </w:t>
            </w:r>
            <w:r w:rsidR="003115D2" w:rsidRPr="002E3B1D">
              <w:rPr>
                <w:b/>
                <w:color w:val="FF0000"/>
                <w:sz w:val="24"/>
                <w:szCs w:val="24"/>
              </w:rPr>
              <w:t>Action</w:t>
            </w:r>
            <w:r w:rsidR="007469FD">
              <w:rPr>
                <w:b/>
                <w:color w:val="FF0000"/>
                <w:sz w:val="24"/>
                <w:szCs w:val="24"/>
              </w:rPr>
              <w:t xml:space="preserve"> 7</w:t>
            </w:r>
            <w:r w:rsidR="003115D2" w:rsidRPr="002E3B1D">
              <w:rPr>
                <w:b/>
                <w:color w:val="FF0000"/>
                <w:sz w:val="24"/>
                <w:szCs w:val="24"/>
              </w:rPr>
              <w:t>: HR, HA, AR</w:t>
            </w:r>
            <w:r w:rsidR="003115D2">
              <w:rPr>
                <w:sz w:val="24"/>
                <w:szCs w:val="24"/>
              </w:rPr>
              <w:t>.</w:t>
            </w:r>
          </w:p>
          <w:p w:rsidR="003115D2" w:rsidRDefault="003115D2" w:rsidP="003115D2">
            <w:pPr>
              <w:pStyle w:val="ListParagraph"/>
              <w:ind w:left="360"/>
              <w:rPr>
                <w:sz w:val="24"/>
                <w:szCs w:val="24"/>
              </w:rPr>
            </w:pPr>
          </w:p>
          <w:p w:rsidR="00EA08B6" w:rsidRDefault="003115D2" w:rsidP="00EA08B6">
            <w:pPr>
              <w:pStyle w:val="ListParagraph"/>
              <w:numPr>
                <w:ilvl w:val="0"/>
                <w:numId w:val="4"/>
              </w:numPr>
              <w:ind w:hanging="184"/>
              <w:rPr>
                <w:sz w:val="24"/>
                <w:szCs w:val="24"/>
              </w:rPr>
            </w:pPr>
            <w:r>
              <w:rPr>
                <w:sz w:val="24"/>
                <w:szCs w:val="24"/>
              </w:rPr>
              <w:t>The SAB accepted the recommendation to allow Hearings by video-conference etc, but stressed this must be only in exceptional circumstances when there was no other way for the student / applicant to attend.</w:t>
            </w:r>
          </w:p>
          <w:p w:rsidR="003115D2" w:rsidRPr="003115D2" w:rsidRDefault="003115D2" w:rsidP="003115D2">
            <w:pPr>
              <w:rPr>
                <w:sz w:val="24"/>
                <w:szCs w:val="24"/>
              </w:rPr>
            </w:pPr>
          </w:p>
        </w:tc>
        <w:tc>
          <w:tcPr>
            <w:tcW w:w="1337" w:type="dxa"/>
          </w:tcPr>
          <w:p w:rsidR="005E2A67" w:rsidRDefault="005E2A67" w:rsidP="00295B25">
            <w:pPr>
              <w:rPr>
                <w:sz w:val="24"/>
                <w:szCs w:val="24"/>
              </w:rPr>
            </w:pPr>
          </w:p>
          <w:p w:rsidR="00EA7374" w:rsidRDefault="00EA7374" w:rsidP="00295B25">
            <w:pPr>
              <w:rPr>
                <w:sz w:val="24"/>
                <w:szCs w:val="24"/>
              </w:rPr>
            </w:pPr>
          </w:p>
          <w:p w:rsidR="00EA7374" w:rsidRPr="005E2A67" w:rsidRDefault="00EA7374" w:rsidP="00295B25">
            <w:pPr>
              <w:rPr>
                <w:sz w:val="24"/>
                <w:szCs w:val="24"/>
              </w:rPr>
            </w:pPr>
            <w:r>
              <w:rPr>
                <w:sz w:val="24"/>
                <w:szCs w:val="24"/>
              </w:rPr>
              <w:t>Annexes E &amp; F</w:t>
            </w:r>
          </w:p>
        </w:tc>
      </w:tr>
      <w:tr w:rsidR="005E2A67" w:rsidTr="00F77D29">
        <w:trPr>
          <w:trHeight w:val="567"/>
        </w:trPr>
        <w:tc>
          <w:tcPr>
            <w:tcW w:w="817" w:type="dxa"/>
          </w:tcPr>
          <w:p w:rsidR="005E2A67" w:rsidRDefault="005E2A67" w:rsidP="00295B25">
            <w:pPr>
              <w:rPr>
                <w:sz w:val="24"/>
                <w:szCs w:val="24"/>
              </w:rPr>
            </w:pPr>
            <w:r w:rsidRPr="005E2A67">
              <w:rPr>
                <w:sz w:val="24"/>
                <w:szCs w:val="24"/>
              </w:rPr>
              <w:lastRenderedPageBreak/>
              <w:t>8</w:t>
            </w:r>
          </w:p>
          <w:p w:rsidR="00FA0A60" w:rsidRDefault="00FA0A60" w:rsidP="00295B25">
            <w:pPr>
              <w:rPr>
                <w:sz w:val="24"/>
                <w:szCs w:val="24"/>
              </w:rPr>
            </w:pPr>
          </w:p>
          <w:p w:rsidR="00FA0A60" w:rsidRDefault="00FA0A60" w:rsidP="003115D2">
            <w:pPr>
              <w:rPr>
                <w:sz w:val="24"/>
                <w:szCs w:val="24"/>
              </w:rPr>
            </w:pPr>
            <w:r>
              <w:rPr>
                <w:sz w:val="24"/>
                <w:szCs w:val="24"/>
              </w:rPr>
              <w:t>8.1</w:t>
            </w:r>
          </w:p>
          <w:p w:rsidR="00F6446E" w:rsidRDefault="00F6446E" w:rsidP="003115D2">
            <w:pPr>
              <w:rPr>
                <w:sz w:val="24"/>
                <w:szCs w:val="24"/>
              </w:rPr>
            </w:pPr>
          </w:p>
          <w:p w:rsidR="00F6446E" w:rsidRDefault="00F6446E" w:rsidP="003115D2">
            <w:pPr>
              <w:rPr>
                <w:sz w:val="24"/>
                <w:szCs w:val="24"/>
              </w:rPr>
            </w:pPr>
          </w:p>
          <w:p w:rsidR="00F6446E" w:rsidRDefault="00F6446E" w:rsidP="003115D2">
            <w:pPr>
              <w:rPr>
                <w:sz w:val="24"/>
                <w:szCs w:val="24"/>
              </w:rPr>
            </w:pPr>
          </w:p>
          <w:p w:rsidR="00F6446E" w:rsidRDefault="00F6446E" w:rsidP="003115D2">
            <w:pPr>
              <w:rPr>
                <w:sz w:val="24"/>
                <w:szCs w:val="24"/>
              </w:rPr>
            </w:pPr>
          </w:p>
          <w:p w:rsidR="00F6446E" w:rsidRDefault="00F6446E" w:rsidP="003115D2">
            <w:pPr>
              <w:rPr>
                <w:sz w:val="24"/>
                <w:szCs w:val="24"/>
              </w:rPr>
            </w:pPr>
          </w:p>
          <w:p w:rsidR="00F6446E" w:rsidRDefault="00F6446E" w:rsidP="003115D2">
            <w:pPr>
              <w:rPr>
                <w:sz w:val="24"/>
                <w:szCs w:val="24"/>
              </w:rPr>
            </w:pPr>
          </w:p>
          <w:p w:rsidR="00F6446E" w:rsidRDefault="00F6446E" w:rsidP="003115D2">
            <w:pPr>
              <w:rPr>
                <w:sz w:val="24"/>
                <w:szCs w:val="24"/>
              </w:rPr>
            </w:pPr>
          </w:p>
          <w:p w:rsidR="00F6446E" w:rsidRPr="005E2A67" w:rsidRDefault="00F6446E" w:rsidP="003115D2">
            <w:pPr>
              <w:rPr>
                <w:sz w:val="24"/>
                <w:szCs w:val="24"/>
              </w:rPr>
            </w:pPr>
            <w:r>
              <w:rPr>
                <w:sz w:val="24"/>
                <w:szCs w:val="24"/>
              </w:rPr>
              <w:t>8.2</w:t>
            </w:r>
          </w:p>
        </w:tc>
        <w:tc>
          <w:tcPr>
            <w:tcW w:w="7088" w:type="dxa"/>
          </w:tcPr>
          <w:p w:rsidR="005E2A67" w:rsidRDefault="00FA0A60" w:rsidP="00295B25">
            <w:pPr>
              <w:rPr>
                <w:b/>
                <w:sz w:val="24"/>
                <w:szCs w:val="24"/>
              </w:rPr>
            </w:pPr>
            <w:r>
              <w:rPr>
                <w:b/>
                <w:sz w:val="24"/>
                <w:szCs w:val="24"/>
              </w:rPr>
              <w:t>Performance and Appraisal Process</w:t>
            </w:r>
          </w:p>
          <w:p w:rsidR="00FA0A60" w:rsidRDefault="00FA0A60" w:rsidP="00295B25">
            <w:pPr>
              <w:rPr>
                <w:b/>
                <w:sz w:val="24"/>
                <w:szCs w:val="24"/>
              </w:rPr>
            </w:pPr>
          </w:p>
          <w:p w:rsidR="00DD3DC9" w:rsidRDefault="003115D2" w:rsidP="003115D2">
            <w:pPr>
              <w:rPr>
                <w:b/>
                <w:sz w:val="24"/>
                <w:szCs w:val="24"/>
              </w:rPr>
            </w:pPr>
            <w:r>
              <w:rPr>
                <w:sz w:val="24"/>
                <w:szCs w:val="24"/>
              </w:rPr>
              <w:t>The SAB thanked the Working Group for developing their proposals to date, and were broadly very supportive of them</w:t>
            </w:r>
            <w:r w:rsidR="00F6446E">
              <w:rPr>
                <w:sz w:val="24"/>
                <w:szCs w:val="24"/>
              </w:rPr>
              <w:t>, and particularly endorsed the potential new competencies.</w:t>
            </w:r>
            <w:r>
              <w:rPr>
                <w:sz w:val="24"/>
                <w:szCs w:val="24"/>
              </w:rPr>
              <w:t xml:space="preserve"> They tasked the Working Group with developing this into a formal policy for consideration at the next SAB meeting, </w:t>
            </w:r>
            <w:r w:rsidR="00F6446E">
              <w:rPr>
                <w:sz w:val="24"/>
                <w:szCs w:val="24"/>
              </w:rPr>
              <w:t xml:space="preserve">including making clear under what circumstances it would be appropriate for face-to-face meetings to take place. </w:t>
            </w:r>
            <w:r w:rsidR="00F6446E" w:rsidRPr="002E3B1D">
              <w:rPr>
                <w:b/>
                <w:color w:val="FF0000"/>
                <w:sz w:val="24"/>
                <w:szCs w:val="24"/>
              </w:rPr>
              <w:t>Action</w:t>
            </w:r>
            <w:r w:rsidR="007469FD">
              <w:rPr>
                <w:b/>
                <w:color w:val="FF0000"/>
                <w:sz w:val="24"/>
                <w:szCs w:val="24"/>
              </w:rPr>
              <w:t xml:space="preserve"> 8</w:t>
            </w:r>
            <w:r w:rsidR="00F6446E" w:rsidRPr="002E3B1D">
              <w:rPr>
                <w:b/>
                <w:color w:val="FF0000"/>
                <w:sz w:val="24"/>
                <w:szCs w:val="24"/>
              </w:rPr>
              <w:t>: SS, SH, AR.</w:t>
            </w:r>
          </w:p>
          <w:p w:rsidR="00F6446E" w:rsidRDefault="00F6446E" w:rsidP="003115D2">
            <w:pPr>
              <w:rPr>
                <w:b/>
                <w:sz w:val="24"/>
                <w:szCs w:val="24"/>
              </w:rPr>
            </w:pPr>
          </w:p>
          <w:p w:rsidR="00F6446E" w:rsidRDefault="00F6446E" w:rsidP="00F6446E">
            <w:pPr>
              <w:rPr>
                <w:b/>
                <w:sz w:val="24"/>
                <w:szCs w:val="24"/>
              </w:rPr>
            </w:pPr>
            <w:r>
              <w:rPr>
                <w:sz w:val="24"/>
                <w:szCs w:val="24"/>
              </w:rPr>
              <w:t xml:space="preserve">It was however highlighted that any appraisal system that created a record of comments on specific panellists’ performance at individual hearings was highly likely to be subject to a disclosure request at some point. This was particularly the case where competency-based questions on (e.g.) a Panel-member’s preparedness for a case could be argued to be relevant for a defendant in any subsequent appeal. The Working Group accordingly agreed to take legal advice on this point ahead of the next meeting. </w:t>
            </w:r>
            <w:r w:rsidRPr="002E3B1D">
              <w:rPr>
                <w:b/>
                <w:color w:val="FF0000"/>
                <w:sz w:val="24"/>
                <w:szCs w:val="24"/>
              </w:rPr>
              <w:t>Action</w:t>
            </w:r>
            <w:r w:rsidR="007469FD">
              <w:rPr>
                <w:b/>
                <w:color w:val="FF0000"/>
                <w:sz w:val="24"/>
                <w:szCs w:val="24"/>
              </w:rPr>
              <w:t xml:space="preserve"> 9</w:t>
            </w:r>
            <w:r w:rsidRPr="002E3B1D">
              <w:rPr>
                <w:b/>
                <w:color w:val="FF0000"/>
                <w:sz w:val="24"/>
                <w:szCs w:val="24"/>
              </w:rPr>
              <w:t>: AR</w:t>
            </w:r>
          </w:p>
          <w:p w:rsidR="00F6446E" w:rsidRPr="00F6446E" w:rsidRDefault="00F6446E" w:rsidP="00F6446E">
            <w:pPr>
              <w:rPr>
                <w:b/>
                <w:sz w:val="24"/>
                <w:szCs w:val="24"/>
              </w:rPr>
            </w:pPr>
          </w:p>
        </w:tc>
        <w:tc>
          <w:tcPr>
            <w:tcW w:w="1337" w:type="dxa"/>
          </w:tcPr>
          <w:p w:rsidR="005E2A67" w:rsidRDefault="005E2A67" w:rsidP="00295B25">
            <w:pPr>
              <w:rPr>
                <w:sz w:val="24"/>
                <w:szCs w:val="24"/>
              </w:rPr>
            </w:pPr>
          </w:p>
          <w:p w:rsidR="00DD3DC9" w:rsidRDefault="00DD3DC9" w:rsidP="00295B25">
            <w:pPr>
              <w:rPr>
                <w:sz w:val="24"/>
                <w:szCs w:val="24"/>
              </w:rPr>
            </w:pPr>
          </w:p>
          <w:p w:rsidR="00DD3DC9" w:rsidRDefault="00DD3DC9" w:rsidP="00295B25">
            <w:pPr>
              <w:rPr>
                <w:sz w:val="24"/>
                <w:szCs w:val="24"/>
              </w:rPr>
            </w:pPr>
            <w:r>
              <w:rPr>
                <w:sz w:val="24"/>
                <w:szCs w:val="24"/>
              </w:rPr>
              <w:t>Annex</w:t>
            </w:r>
            <w:r w:rsidR="003115D2">
              <w:rPr>
                <w:sz w:val="24"/>
                <w:szCs w:val="24"/>
              </w:rPr>
              <w:t>es  G &amp; H</w:t>
            </w:r>
          </w:p>
          <w:p w:rsidR="00DD3DC9" w:rsidRDefault="00DD3DC9" w:rsidP="00295B25">
            <w:pPr>
              <w:rPr>
                <w:sz w:val="24"/>
                <w:szCs w:val="24"/>
              </w:rPr>
            </w:pPr>
          </w:p>
          <w:p w:rsidR="00866B25" w:rsidRDefault="00866B25" w:rsidP="00295B25">
            <w:pPr>
              <w:rPr>
                <w:sz w:val="24"/>
                <w:szCs w:val="24"/>
              </w:rPr>
            </w:pPr>
          </w:p>
          <w:p w:rsidR="00DD3DC9" w:rsidRPr="005E2A67" w:rsidRDefault="00DD3DC9" w:rsidP="00295B25">
            <w:pPr>
              <w:rPr>
                <w:sz w:val="24"/>
                <w:szCs w:val="24"/>
              </w:rPr>
            </w:pPr>
          </w:p>
        </w:tc>
      </w:tr>
      <w:tr w:rsidR="003115D2" w:rsidTr="00F77D29">
        <w:trPr>
          <w:trHeight w:val="567"/>
        </w:trPr>
        <w:tc>
          <w:tcPr>
            <w:tcW w:w="817" w:type="dxa"/>
          </w:tcPr>
          <w:p w:rsidR="003115D2" w:rsidRDefault="003115D2" w:rsidP="00295B25">
            <w:pPr>
              <w:rPr>
                <w:sz w:val="24"/>
                <w:szCs w:val="24"/>
              </w:rPr>
            </w:pPr>
            <w:r>
              <w:rPr>
                <w:sz w:val="24"/>
                <w:szCs w:val="24"/>
              </w:rPr>
              <w:t>9</w:t>
            </w:r>
          </w:p>
        </w:tc>
        <w:tc>
          <w:tcPr>
            <w:tcW w:w="7088" w:type="dxa"/>
          </w:tcPr>
          <w:p w:rsidR="003115D2" w:rsidRDefault="003115D2" w:rsidP="00295B25">
            <w:pPr>
              <w:rPr>
                <w:b/>
                <w:sz w:val="24"/>
                <w:szCs w:val="24"/>
              </w:rPr>
            </w:pPr>
            <w:r>
              <w:rPr>
                <w:b/>
                <w:sz w:val="24"/>
                <w:szCs w:val="24"/>
              </w:rPr>
              <w:t>Effective Sentence Date</w:t>
            </w:r>
          </w:p>
          <w:p w:rsidR="00F6446E" w:rsidRDefault="00F6446E" w:rsidP="00295B25">
            <w:pPr>
              <w:rPr>
                <w:b/>
                <w:sz w:val="24"/>
                <w:szCs w:val="24"/>
              </w:rPr>
            </w:pPr>
          </w:p>
          <w:p w:rsidR="00F6446E" w:rsidRDefault="00F6446E" w:rsidP="00F6446E">
            <w:pPr>
              <w:rPr>
                <w:sz w:val="24"/>
                <w:szCs w:val="24"/>
              </w:rPr>
            </w:pPr>
            <w:r>
              <w:rPr>
                <w:sz w:val="24"/>
                <w:szCs w:val="24"/>
              </w:rPr>
              <w:t>The SAB approved the circulation of a policy note confirming that the date of pronouncement of sentence by Treasurers should now always be 5 working days after they received notification of the sentence.</w:t>
            </w:r>
          </w:p>
          <w:p w:rsidR="002E3B1D" w:rsidRPr="002E3B1D" w:rsidRDefault="002E3B1D" w:rsidP="00F6446E">
            <w:pPr>
              <w:rPr>
                <w:b/>
                <w:color w:val="FF0000"/>
                <w:sz w:val="24"/>
                <w:szCs w:val="24"/>
              </w:rPr>
            </w:pPr>
            <w:r w:rsidRPr="002E3B1D">
              <w:rPr>
                <w:b/>
                <w:color w:val="FF0000"/>
                <w:sz w:val="24"/>
                <w:szCs w:val="24"/>
              </w:rPr>
              <w:t>Action</w:t>
            </w:r>
            <w:r w:rsidR="007469FD">
              <w:rPr>
                <w:b/>
                <w:color w:val="FF0000"/>
                <w:sz w:val="24"/>
                <w:szCs w:val="24"/>
              </w:rPr>
              <w:t xml:space="preserve"> 10</w:t>
            </w:r>
            <w:r w:rsidRPr="002E3B1D">
              <w:rPr>
                <w:b/>
                <w:color w:val="FF0000"/>
                <w:sz w:val="24"/>
                <w:szCs w:val="24"/>
              </w:rPr>
              <w:t>: AR</w:t>
            </w:r>
          </w:p>
          <w:p w:rsidR="00F6446E" w:rsidRPr="00F6446E" w:rsidRDefault="00F6446E" w:rsidP="00F6446E">
            <w:pPr>
              <w:rPr>
                <w:sz w:val="24"/>
                <w:szCs w:val="24"/>
              </w:rPr>
            </w:pPr>
          </w:p>
        </w:tc>
        <w:tc>
          <w:tcPr>
            <w:tcW w:w="1337" w:type="dxa"/>
          </w:tcPr>
          <w:p w:rsidR="003115D2" w:rsidRDefault="003115D2" w:rsidP="00295B25">
            <w:pPr>
              <w:rPr>
                <w:sz w:val="24"/>
                <w:szCs w:val="24"/>
              </w:rPr>
            </w:pPr>
          </w:p>
          <w:p w:rsidR="00F6446E" w:rsidRDefault="00F6446E" w:rsidP="00295B25">
            <w:pPr>
              <w:rPr>
                <w:sz w:val="24"/>
                <w:szCs w:val="24"/>
              </w:rPr>
            </w:pPr>
          </w:p>
          <w:p w:rsidR="00F6446E" w:rsidRPr="005E2A67" w:rsidRDefault="00F6446E" w:rsidP="00295B25">
            <w:pPr>
              <w:rPr>
                <w:sz w:val="24"/>
                <w:szCs w:val="24"/>
              </w:rPr>
            </w:pPr>
            <w:r>
              <w:rPr>
                <w:sz w:val="24"/>
                <w:szCs w:val="24"/>
              </w:rPr>
              <w:t>Annex I</w:t>
            </w:r>
          </w:p>
        </w:tc>
      </w:tr>
      <w:tr w:rsidR="00FA0A60" w:rsidTr="00F77D29">
        <w:trPr>
          <w:trHeight w:val="567"/>
        </w:trPr>
        <w:tc>
          <w:tcPr>
            <w:tcW w:w="817" w:type="dxa"/>
          </w:tcPr>
          <w:p w:rsidR="00FA0A60" w:rsidRPr="005E2A67" w:rsidRDefault="003115D2" w:rsidP="00295B25">
            <w:pPr>
              <w:rPr>
                <w:sz w:val="24"/>
                <w:szCs w:val="24"/>
              </w:rPr>
            </w:pPr>
            <w:r>
              <w:rPr>
                <w:sz w:val="24"/>
                <w:szCs w:val="24"/>
              </w:rPr>
              <w:t>10</w:t>
            </w:r>
          </w:p>
        </w:tc>
        <w:tc>
          <w:tcPr>
            <w:tcW w:w="7088" w:type="dxa"/>
          </w:tcPr>
          <w:p w:rsidR="00FA0A60" w:rsidRDefault="00FA0A60" w:rsidP="00295B25">
            <w:pPr>
              <w:rPr>
                <w:b/>
                <w:sz w:val="24"/>
                <w:szCs w:val="24"/>
              </w:rPr>
            </w:pPr>
            <w:r>
              <w:rPr>
                <w:b/>
                <w:sz w:val="24"/>
                <w:szCs w:val="24"/>
              </w:rPr>
              <w:t>Dates of Future Meetings</w:t>
            </w:r>
          </w:p>
          <w:p w:rsidR="00F9460B" w:rsidRDefault="00F9460B" w:rsidP="00295B25">
            <w:pPr>
              <w:rPr>
                <w:b/>
                <w:sz w:val="24"/>
                <w:szCs w:val="24"/>
              </w:rPr>
            </w:pPr>
          </w:p>
          <w:p w:rsidR="00F6446E" w:rsidRPr="00EA2B27" w:rsidRDefault="00F6446E" w:rsidP="00F6446E">
            <w:pPr>
              <w:rPr>
                <w:sz w:val="24"/>
                <w:szCs w:val="24"/>
              </w:rPr>
            </w:pPr>
            <w:r w:rsidRPr="00EA2B27">
              <w:rPr>
                <w:sz w:val="24"/>
                <w:szCs w:val="24"/>
              </w:rPr>
              <w:t>Wednesday 4 March 2015 2pm – 4pm</w:t>
            </w:r>
          </w:p>
          <w:p w:rsidR="00F6446E" w:rsidRPr="00EA2B27" w:rsidRDefault="00F6446E" w:rsidP="00F6446E">
            <w:pPr>
              <w:rPr>
                <w:bCs/>
                <w:sz w:val="24"/>
                <w:szCs w:val="24"/>
              </w:rPr>
            </w:pPr>
            <w:r w:rsidRPr="00EA2B27">
              <w:rPr>
                <w:bCs/>
                <w:sz w:val="24"/>
                <w:szCs w:val="24"/>
              </w:rPr>
              <w:t>Tuesday 16 June 2015 2pm -4pm</w:t>
            </w:r>
          </w:p>
          <w:p w:rsidR="00F6446E" w:rsidRPr="00EA2B27" w:rsidRDefault="00F6446E" w:rsidP="00F6446E">
            <w:pPr>
              <w:rPr>
                <w:bCs/>
                <w:sz w:val="24"/>
                <w:szCs w:val="24"/>
              </w:rPr>
            </w:pPr>
            <w:r w:rsidRPr="00EA2B27">
              <w:rPr>
                <w:bCs/>
                <w:sz w:val="24"/>
                <w:szCs w:val="24"/>
              </w:rPr>
              <w:t>Thursday 17 September 2015 2pm – 4pm</w:t>
            </w:r>
          </w:p>
          <w:p w:rsidR="00F6446E" w:rsidRPr="00EA2B27" w:rsidRDefault="00F6446E" w:rsidP="00F6446E">
            <w:pPr>
              <w:rPr>
                <w:sz w:val="24"/>
                <w:szCs w:val="24"/>
              </w:rPr>
            </w:pPr>
            <w:r w:rsidRPr="00EA2B27">
              <w:rPr>
                <w:sz w:val="24"/>
                <w:szCs w:val="24"/>
              </w:rPr>
              <w:t>Wednesday 2 December 2015 2pm – 4pm</w:t>
            </w:r>
          </w:p>
          <w:p w:rsidR="00F9460B" w:rsidRPr="00F9460B" w:rsidRDefault="00F9460B" w:rsidP="00295B25">
            <w:pPr>
              <w:rPr>
                <w:sz w:val="24"/>
                <w:szCs w:val="24"/>
              </w:rPr>
            </w:pPr>
          </w:p>
        </w:tc>
        <w:tc>
          <w:tcPr>
            <w:tcW w:w="1337" w:type="dxa"/>
          </w:tcPr>
          <w:p w:rsidR="00FA0A60" w:rsidRPr="005E2A67" w:rsidRDefault="00FA0A60" w:rsidP="00295B25">
            <w:pPr>
              <w:rPr>
                <w:sz w:val="24"/>
                <w:szCs w:val="24"/>
              </w:rPr>
            </w:pPr>
          </w:p>
        </w:tc>
      </w:tr>
      <w:tr w:rsidR="005E2A67" w:rsidTr="00F77D29">
        <w:trPr>
          <w:trHeight w:val="567"/>
        </w:trPr>
        <w:tc>
          <w:tcPr>
            <w:tcW w:w="817" w:type="dxa"/>
          </w:tcPr>
          <w:p w:rsidR="005E2A67" w:rsidRPr="00FA0A60" w:rsidRDefault="003115D2" w:rsidP="00295B25">
            <w:pPr>
              <w:rPr>
                <w:sz w:val="24"/>
                <w:szCs w:val="24"/>
              </w:rPr>
            </w:pPr>
            <w:r>
              <w:rPr>
                <w:sz w:val="24"/>
                <w:szCs w:val="24"/>
              </w:rPr>
              <w:t>11</w:t>
            </w:r>
          </w:p>
        </w:tc>
        <w:tc>
          <w:tcPr>
            <w:tcW w:w="7088" w:type="dxa"/>
          </w:tcPr>
          <w:p w:rsidR="005E2A67" w:rsidRDefault="0042272E" w:rsidP="00295B25">
            <w:pPr>
              <w:rPr>
                <w:b/>
                <w:sz w:val="24"/>
                <w:szCs w:val="24"/>
              </w:rPr>
            </w:pPr>
            <w:r w:rsidRPr="00FA0A60">
              <w:rPr>
                <w:b/>
                <w:sz w:val="24"/>
                <w:szCs w:val="24"/>
              </w:rPr>
              <w:t>Any Other Business</w:t>
            </w:r>
          </w:p>
          <w:p w:rsidR="00F9460B" w:rsidRDefault="00F9460B" w:rsidP="00295B25">
            <w:pPr>
              <w:rPr>
                <w:b/>
                <w:sz w:val="24"/>
                <w:szCs w:val="24"/>
              </w:rPr>
            </w:pPr>
          </w:p>
          <w:p w:rsidR="00F9460B" w:rsidRPr="00F9460B" w:rsidRDefault="00F9460B" w:rsidP="00295B25">
            <w:pPr>
              <w:rPr>
                <w:sz w:val="24"/>
                <w:szCs w:val="24"/>
              </w:rPr>
            </w:pPr>
            <w:r w:rsidRPr="00F9460B">
              <w:rPr>
                <w:sz w:val="24"/>
                <w:szCs w:val="24"/>
              </w:rPr>
              <w:t>None</w:t>
            </w:r>
          </w:p>
        </w:tc>
        <w:tc>
          <w:tcPr>
            <w:tcW w:w="1337" w:type="dxa"/>
          </w:tcPr>
          <w:p w:rsidR="005E2A67" w:rsidRPr="005E2A67" w:rsidRDefault="005E2A67" w:rsidP="00295B25">
            <w:pPr>
              <w:rPr>
                <w:sz w:val="24"/>
                <w:szCs w:val="24"/>
              </w:rPr>
            </w:pPr>
          </w:p>
        </w:tc>
      </w:tr>
    </w:tbl>
    <w:p w:rsidR="005E2A67" w:rsidRPr="005E2A67" w:rsidRDefault="005E2A67" w:rsidP="00DD3DC9">
      <w:pPr>
        <w:rPr>
          <w:b/>
          <w:sz w:val="24"/>
          <w:szCs w:val="24"/>
        </w:rPr>
      </w:pPr>
    </w:p>
    <w:sectPr w:rsidR="005E2A67" w:rsidRPr="005E2A67" w:rsidSect="00DD3DC9">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A8" w:rsidRDefault="00465BA8" w:rsidP="00C0170B">
      <w:pPr>
        <w:spacing w:after="0" w:line="240" w:lineRule="auto"/>
      </w:pPr>
      <w:r>
        <w:separator/>
      </w:r>
    </w:p>
  </w:endnote>
  <w:endnote w:type="continuationSeparator" w:id="0">
    <w:p w:rsidR="00465BA8" w:rsidRDefault="00465BA8" w:rsidP="00C0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916552"/>
      <w:docPartObj>
        <w:docPartGallery w:val="Page Numbers (Bottom of Page)"/>
        <w:docPartUnique/>
      </w:docPartObj>
    </w:sdtPr>
    <w:sdtEndPr>
      <w:rPr>
        <w:noProof/>
      </w:rPr>
    </w:sdtEndPr>
    <w:sdtContent>
      <w:p w:rsidR="002E3B1D" w:rsidRDefault="002E3B1D">
        <w:pPr>
          <w:pStyle w:val="Footer"/>
          <w:jc w:val="center"/>
        </w:pPr>
        <w:r>
          <w:fldChar w:fldCharType="begin"/>
        </w:r>
        <w:r>
          <w:instrText xml:space="preserve"> PAGE   \* MERGEFORMAT </w:instrText>
        </w:r>
        <w:r>
          <w:fldChar w:fldCharType="separate"/>
        </w:r>
        <w:r w:rsidR="00A93590">
          <w:rPr>
            <w:noProof/>
          </w:rPr>
          <w:t>5</w:t>
        </w:r>
        <w:r>
          <w:rPr>
            <w:noProof/>
          </w:rPr>
          <w:fldChar w:fldCharType="end"/>
        </w:r>
      </w:p>
    </w:sdtContent>
  </w:sdt>
  <w:p w:rsidR="002E3B1D" w:rsidRDefault="002E3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A8" w:rsidRDefault="00465BA8" w:rsidP="00C0170B">
      <w:pPr>
        <w:spacing w:after="0" w:line="240" w:lineRule="auto"/>
      </w:pPr>
      <w:r>
        <w:separator/>
      </w:r>
    </w:p>
  </w:footnote>
  <w:footnote w:type="continuationSeparator" w:id="0">
    <w:p w:rsidR="00465BA8" w:rsidRDefault="00465BA8" w:rsidP="00C01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F44FD"/>
    <w:multiLevelType w:val="hybridMultilevel"/>
    <w:tmpl w:val="AC7A5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B1332DE"/>
    <w:multiLevelType w:val="hybridMultilevel"/>
    <w:tmpl w:val="3940C5D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E194321"/>
    <w:multiLevelType w:val="hybridMultilevel"/>
    <w:tmpl w:val="27067F8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81E72D3"/>
    <w:multiLevelType w:val="hybridMultilevel"/>
    <w:tmpl w:val="5EFA28A8"/>
    <w:lvl w:ilvl="0" w:tplc="F1586F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67"/>
    <w:rsid w:val="00017A6A"/>
    <w:rsid w:val="00055DB1"/>
    <w:rsid w:val="000C260D"/>
    <w:rsid w:val="00116EB5"/>
    <w:rsid w:val="00134AE5"/>
    <w:rsid w:val="001609B3"/>
    <w:rsid w:val="001C1FE5"/>
    <w:rsid w:val="001D28F0"/>
    <w:rsid w:val="001D44CD"/>
    <w:rsid w:val="00214421"/>
    <w:rsid w:val="00220C72"/>
    <w:rsid w:val="00295B25"/>
    <w:rsid w:val="002A1920"/>
    <w:rsid w:val="002E3B1D"/>
    <w:rsid w:val="002E57E5"/>
    <w:rsid w:val="002F0A41"/>
    <w:rsid w:val="003115D2"/>
    <w:rsid w:val="0032683D"/>
    <w:rsid w:val="00344F5A"/>
    <w:rsid w:val="0034661E"/>
    <w:rsid w:val="003674B5"/>
    <w:rsid w:val="00384732"/>
    <w:rsid w:val="003D4DF8"/>
    <w:rsid w:val="003E7F50"/>
    <w:rsid w:val="00405FD9"/>
    <w:rsid w:val="004127F2"/>
    <w:rsid w:val="0042272E"/>
    <w:rsid w:val="004327C4"/>
    <w:rsid w:val="004608F5"/>
    <w:rsid w:val="00465BA8"/>
    <w:rsid w:val="00482183"/>
    <w:rsid w:val="004A15A9"/>
    <w:rsid w:val="004C624E"/>
    <w:rsid w:val="004E7964"/>
    <w:rsid w:val="004F08EA"/>
    <w:rsid w:val="0050045C"/>
    <w:rsid w:val="00552C83"/>
    <w:rsid w:val="005E2A67"/>
    <w:rsid w:val="005F14A1"/>
    <w:rsid w:val="006014EC"/>
    <w:rsid w:val="006311F1"/>
    <w:rsid w:val="00671B36"/>
    <w:rsid w:val="00675DE1"/>
    <w:rsid w:val="006A65FB"/>
    <w:rsid w:val="006B76AE"/>
    <w:rsid w:val="00734D50"/>
    <w:rsid w:val="007364DA"/>
    <w:rsid w:val="007469FD"/>
    <w:rsid w:val="007A5EDA"/>
    <w:rsid w:val="007B3D02"/>
    <w:rsid w:val="007D3951"/>
    <w:rsid w:val="008001C3"/>
    <w:rsid w:val="00836F41"/>
    <w:rsid w:val="00866B25"/>
    <w:rsid w:val="00876A94"/>
    <w:rsid w:val="008D110E"/>
    <w:rsid w:val="00930DB1"/>
    <w:rsid w:val="009936FF"/>
    <w:rsid w:val="009D313A"/>
    <w:rsid w:val="009D374F"/>
    <w:rsid w:val="00A44D03"/>
    <w:rsid w:val="00A47ECB"/>
    <w:rsid w:val="00A93590"/>
    <w:rsid w:val="00AB103E"/>
    <w:rsid w:val="00AE1D27"/>
    <w:rsid w:val="00AE5D93"/>
    <w:rsid w:val="00AF4F4D"/>
    <w:rsid w:val="00AF63DF"/>
    <w:rsid w:val="00B24564"/>
    <w:rsid w:val="00B62673"/>
    <w:rsid w:val="00B948CB"/>
    <w:rsid w:val="00BC718C"/>
    <w:rsid w:val="00BE585C"/>
    <w:rsid w:val="00C0170B"/>
    <w:rsid w:val="00C5612C"/>
    <w:rsid w:val="00C8353F"/>
    <w:rsid w:val="00CF73B8"/>
    <w:rsid w:val="00D008BB"/>
    <w:rsid w:val="00D0657E"/>
    <w:rsid w:val="00D24FFD"/>
    <w:rsid w:val="00D802E1"/>
    <w:rsid w:val="00DD3DC9"/>
    <w:rsid w:val="00E310D9"/>
    <w:rsid w:val="00E34A60"/>
    <w:rsid w:val="00E6165E"/>
    <w:rsid w:val="00E85175"/>
    <w:rsid w:val="00E9292C"/>
    <w:rsid w:val="00E97507"/>
    <w:rsid w:val="00EA08B6"/>
    <w:rsid w:val="00EA7374"/>
    <w:rsid w:val="00EC617B"/>
    <w:rsid w:val="00ED2639"/>
    <w:rsid w:val="00EF16BF"/>
    <w:rsid w:val="00F50C01"/>
    <w:rsid w:val="00F62A2B"/>
    <w:rsid w:val="00F6446E"/>
    <w:rsid w:val="00F77D29"/>
    <w:rsid w:val="00F9460B"/>
    <w:rsid w:val="00F95599"/>
    <w:rsid w:val="00FA0A60"/>
    <w:rsid w:val="00FC12E7"/>
    <w:rsid w:val="00FD0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A67"/>
    <w:rPr>
      <w:rFonts w:ascii="Tahoma" w:hAnsi="Tahoma" w:cs="Tahoma"/>
      <w:sz w:val="16"/>
      <w:szCs w:val="16"/>
    </w:rPr>
  </w:style>
  <w:style w:type="table" w:styleId="TableGrid">
    <w:name w:val="Table Grid"/>
    <w:basedOn w:val="TableNormal"/>
    <w:uiPriority w:val="59"/>
    <w:rsid w:val="005E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92C"/>
    <w:pPr>
      <w:ind w:left="720"/>
      <w:contextualSpacing/>
    </w:pPr>
  </w:style>
  <w:style w:type="paragraph" w:styleId="Header">
    <w:name w:val="header"/>
    <w:basedOn w:val="Normal"/>
    <w:link w:val="HeaderChar"/>
    <w:uiPriority w:val="99"/>
    <w:unhideWhenUsed/>
    <w:rsid w:val="00C0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0B"/>
  </w:style>
  <w:style w:type="paragraph" w:styleId="Footer">
    <w:name w:val="footer"/>
    <w:basedOn w:val="Normal"/>
    <w:link w:val="FooterChar"/>
    <w:uiPriority w:val="99"/>
    <w:unhideWhenUsed/>
    <w:rsid w:val="00C01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0B"/>
  </w:style>
  <w:style w:type="paragraph" w:styleId="PlainText">
    <w:name w:val="Plain Text"/>
    <w:basedOn w:val="Normal"/>
    <w:link w:val="PlainTextChar"/>
    <w:uiPriority w:val="99"/>
    <w:semiHidden/>
    <w:unhideWhenUsed/>
    <w:rsid w:val="007A5ED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A5EDA"/>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A67"/>
    <w:rPr>
      <w:rFonts w:ascii="Tahoma" w:hAnsi="Tahoma" w:cs="Tahoma"/>
      <w:sz w:val="16"/>
      <w:szCs w:val="16"/>
    </w:rPr>
  </w:style>
  <w:style w:type="table" w:styleId="TableGrid">
    <w:name w:val="Table Grid"/>
    <w:basedOn w:val="TableNormal"/>
    <w:uiPriority w:val="59"/>
    <w:rsid w:val="005E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92C"/>
    <w:pPr>
      <w:ind w:left="720"/>
      <w:contextualSpacing/>
    </w:pPr>
  </w:style>
  <w:style w:type="paragraph" w:styleId="Header">
    <w:name w:val="header"/>
    <w:basedOn w:val="Normal"/>
    <w:link w:val="HeaderChar"/>
    <w:uiPriority w:val="99"/>
    <w:unhideWhenUsed/>
    <w:rsid w:val="00C0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0B"/>
  </w:style>
  <w:style w:type="paragraph" w:styleId="Footer">
    <w:name w:val="footer"/>
    <w:basedOn w:val="Normal"/>
    <w:link w:val="FooterChar"/>
    <w:uiPriority w:val="99"/>
    <w:unhideWhenUsed/>
    <w:rsid w:val="00C01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0B"/>
  </w:style>
  <w:style w:type="paragraph" w:styleId="PlainText">
    <w:name w:val="Plain Text"/>
    <w:basedOn w:val="Normal"/>
    <w:link w:val="PlainTextChar"/>
    <w:uiPriority w:val="99"/>
    <w:semiHidden/>
    <w:unhideWhenUsed/>
    <w:rsid w:val="007A5ED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A5ED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Russell</dc:creator>
  <cp:lastModifiedBy>Andy Russell</cp:lastModifiedBy>
  <cp:revision>3</cp:revision>
  <cp:lastPrinted>2014-12-11T16:28:00Z</cp:lastPrinted>
  <dcterms:created xsi:type="dcterms:W3CDTF">2014-12-15T10:49:00Z</dcterms:created>
  <dcterms:modified xsi:type="dcterms:W3CDTF">2014-12-15T11:11:00Z</dcterms:modified>
</cp:coreProperties>
</file>