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E51" w:rsidRDefault="00350E51" w:rsidP="00350E51">
      <w:pPr>
        <w:pStyle w:val="NoSpacing"/>
        <w:jc w:val="center"/>
      </w:pPr>
      <w:r>
        <w:rPr>
          <w:noProof/>
        </w:rPr>
        <w:drawing>
          <wp:inline distT="0" distB="0" distL="0" distR="0" wp14:anchorId="25B4A486" wp14:editId="1E185E08">
            <wp:extent cx="2790825" cy="962025"/>
            <wp:effectExtent l="0" t="0" r="9525" b="9525"/>
            <wp:docPr id="2" name="Picture 2" descr="S:\Templates\COIC Shields 2014 Flat (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plates\COIC Shields 2014 Flat (3).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0825" cy="962025"/>
                    </a:xfrm>
                    <a:prstGeom prst="rect">
                      <a:avLst/>
                    </a:prstGeom>
                    <a:noFill/>
                    <a:ln>
                      <a:noFill/>
                    </a:ln>
                  </pic:spPr>
                </pic:pic>
              </a:graphicData>
            </a:graphic>
          </wp:inline>
        </w:drawing>
      </w:r>
    </w:p>
    <w:p w:rsidR="00350E51" w:rsidRPr="00252322" w:rsidRDefault="00350E51" w:rsidP="00350E51">
      <w:pPr>
        <w:pStyle w:val="NoSpacing"/>
        <w:jc w:val="center"/>
        <w:rPr>
          <w:rFonts w:ascii="Calibri" w:hAnsi="Calibri"/>
          <w:b/>
          <w:smallCaps/>
        </w:rPr>
      </w:pPr>
      <w:r w:rsidRPr="00F475BC">
        <w:rPr>
          <w:rFonts w:ascii="Calibri" w:hAnsi="Calibri"/>
          <w:b/>
          <w:smallCaps/>
        </w:rPr>
        <w:t>The Council of the Inns of Court</w:t>
      </w:r>
    </w:p>
    <w:p w:rsidR="00D24DAB" w:rsidRDefault="00D24DAB" w:rsidP="005E2A67">
      <w:pPr>
        <w:jc w:val="center"/>
      </w:pPr>
    </w:p>
    <w:p w:rsidR="005E2A67" w:rsidRDefault="005E2A67" w:rsidP="005E2A67">
      <w:pPr>
        <w:jc w:val="center"/>
        <w:rPr>
          <w:b/>
          <w:sz w:val="32"/>
          <w:szCs w:val="32"/>
        </w:rPr>
      </w:pPr>
      <w:r>
        <w:rPr>
          <w:b/>
          <w:sz w:val="32"/>
          <w:szCs w:val="32"/>
        </w:rPr>
        <w:t>The Bar Tribunals &amp; Adjudication Service</w:t>
      </w:r>
    </w:p>
    <w:p w:rsidR="005E2A67" w:rsidRDefault="00EF16BF" w:rsidP="005E2A67">
      <w:pPr>
        <w:jc w:val="center"/>
        <w:rPr>
          <w:b/>
          <w:sz w:val="32"/>
          <w:szCs w:val="32"/>
        </w:rPr>
      </w:pPr>
      <w:r>
        <w:rPr>
          <w:b/>
          <w:sz w:val="32"/>
          <w:szCs w:val="32"/>
        </w:rPr>
        <w:t xml:space="preserve">MINUTES OF THE </w:t>
      </w:r>
      <w:r w:rsidR="005E2A67">
        <w:rPr>
          <w:b/>
          <w:sz w:val="32"/>
          <w:szCs w:val="32"/>
        </w:rPr>
        <w:t>STRATEGIC ADVISORY BOARD MEETING</w:t>
      </w:r>
    </w:p>
    <w:p w:rsidR="005E2A67" w:rsidRPr="005E2A67" w:rsidRDefault="00DF1213" w:rsidP="005E2A67">
      <w:pPr>
        <w:jc w:val="center"/>
        <w:rPr>
          <w:b/>
          <w:sz w:val="28"/>
          <w:szCs w:val="28"/>
        </w:rPr>
      </w:pPr>
      <w:r>
        <w:rPr>
          <w:b/>
          <w:sz w:val="28"/>
          <w:szCs w:val="28"/>
        </w:rPr>
        <w:t>Monday 29</w:t>
      </w:r>
      <w:r w:rsidRPr="00DF1213">
        <w:rPr>
          <w:b/>
          <w:sz w:val="28"/>
          <w:szCs w:val="28"/>
          <w:vertAlign w:val="superscript"/>
        </w:rPr>
        <w:t>th</w:t>
      </w:r>
      <w:r>
        <w:rPr>
          <w:b/>
          <w:sz w:val="28"/>
          <w:szCs w:val="28"/>
        </w:rPr>
        <w:t xml:space="preserve"> June</w:t>
      </w:r>
      <w:r w:rsidR="004A3842">
        <w:rPr>
          <w:b/>
          <w:sz w:val="28"/>
          <w:szCs w:val="28"/>
        </w:rPr>
        <w:t xml:space="preserve"> 2015</w:t>
      </w:r>
      <w:r w:rsidR="005E2A67">
        <w:rPr>
          <w:b/>
          <w:sz w:val="28"/>
          <w:szCs w:val="28"/>
        </w:rPr>
        <w:t xml:space="preserve"> </w:t>
      </w:r>
    </w:p>
    <w:p w:rsidR="005E2A67" w:rsidRDefault="005E2A67" w:rsidP="005E2A67">
      <w:pPr>
        <w:jc w:val="center"/>
      </w:pPr>
      <w:r>
        <w:t>The Tribunal Suite, 9 Gray’s Inn Square, WC1R 5JF</w:t>
      </w:r>
    </w:p>
    <w:p w:rsidR="005E2A67" w:rsidRDefault="005E2A67" w:rsidP="005E2A67">
      <w:pPr>
        <w:jc w:val="center"/>
        <w:rPr>
          <w:b/>
          <w:sz w:val="24"/>
          <w:szCs w:val="24"/>
        </w:rPr>
      </w:pPr>
    </w:p>
    <w:tbl>
      <w:tblPr>
        <w:tblStyle w:val="TableGrid"/>
        <w:tblW w:w="0" w:type="auto"/>
        <w:tblLook w:val="04A0" w:firstRow="1" w:lastRow="0" w:firstColumn="1" w:lastColumn="0" w:noHBand="0" w:noVBand="1"/>
      </w:tblPr>
      <w:tblGrid>
        <w:gridCol w:w="817"/>
        <w:gridCol w:w="7088"/>
        <w:gridCol w:w="1337"/>
      </w:tblGrid>
      <w:tr w:rsidR="005E2A67" w:rsidRPr="00F77D29" w:rsidTr="00F77D29">
        <w:trPr>
          <w:trHeight w:val="567"/>
        </w:trPr>
        <w:tc>
          <w:tcPr>
            <w:tcW w:w="817" w:type="dxa"/>
          </w:tcPr>
          <w:p w:rsidR="005E2A67" w:rsidRDefault="005E2A67" w:rsidP="00295B25">
            <w:pPr>
              <w:rPr>
                <w:sz w:val="24"/>
                <w:szCs w:val="24"/>
              </w:rPr>
            </w:pPr>
            <w:r w:rsidRPr="00F77D29">
              <w:rPr>
                <w:sz w:val="24"/>
                <w:szCs w:val="24"/>
              </w:rPr>
              <w:t>1</w:t>
            </w: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EC617B" w:rsidRDefault="00EC617B" w:rsidP="00295B25">
            <w:pPr>
              <w:rPr>
                <w:sz w:val="24"/>
                <w:szCs w:val="24"/>
              </w:rPr>
            </w:pPr>
          </w:p>
          <w:p w:rsidR="00214421" w:rsidRDefault="00214421" w:rsidP="00295B25">
            <w:pPr>
              <w:rPr>
                <w:sz w:val="24"/>
                <w:szCs w:val="24"/>
              </w:rPr>
            </w:pPr>
          </w:p>
          <w:p w:rsidR="00214421" w:rsidRDefault="00214421" w:rsidP="00295B25">
            <w:pPr>
              <w:rPr>
                <w:sz w:val="24"/>
                <w:szCs w:val="24"/>
              </w:rPr>
            </w:pPr>
          </w:p>
          <w:p w:rsidR="00EC617B" w:rsidRPr="00F77D29" w:rsidRDefault="00EC617B" w:rsidP="00214421">
            <w:pPr>
              <w:rPr>
                <w:sz w:val="24"/>
                <w:szCs w:val="24"/>
              </w:rPr>
            </w:pPr>
          </w:p>
        </w:tc>
        <w:tc>
          <w:tcPr>
            <w:tcW w:w="7088" w:type="dxa"/>
          </w:tcPr>
          <w:p w:rsidR="002F0A41" w:rsidRDefault="002F0A41" w:rsidP="00295B25">
            <w:pPr>
              <w:rPr>
                <w:b/>
                <w:i/>
                <w:sz w:val="24"/>
                <w:szCs w:val="24"/>
              </w:rPr>
            </w:pPr>
            <w:r w:rsidRPr="002F0A41">
              <w:rPr>
                <w:b/>
                <w:i/>
                <w:sz w:val="24"/>
                <w:szCs w:val="24"/>
              </w:rPr>
              <w:t xml:space="preserve">Present: </w:t>
            </w:r>
          </w:p>
          <w:p w:rsidR="002F0A41" w:rsidRDefault="002F0A41" w:rsidP="00295B25">
            <w:pPr>
              <w:rPr>
                <w:i/>
                <w:sz w:val="24"/>
                <w:szCs w:val="24"/>
              </w:rPr>
            </w:pPr>
            <w:r>
              <w:rPr>
                <w:i/>
                <w:sz w:val="24"/>
                <w:szCs w:val="24"/>
              </w:rPr>
              <w:t>Clare Dodgson</w:t>
            </w:r>
            <w:r>
              <w:rPr>
                <w:i/>
                <w:sz w:val="24"/>
                <w:szCs w:val="24"/>
              </w:rPr>
              <w:tab/>
            </w:r>
            <w:r>
              <w:rPr>
                <w:i/>
                <w:sz w:val="24"/>
                <w:szCs w:val="24"/>
              </w:rPr>
              <w:tab/>
              <w:t>Chair</w:t>
            </w:r>
            <w:r w:rsidR="004E7964">
              <w:rPr>
                <w:i/>
                <w:sz w:val="24"/>
                <w:szCs w:val="24"/>
              </w:rPr>
              <w:t xml:space="preserve"> of SAB and Lay Representative</w:t>
            </w:r>
            <w:r>
              <w:rPr>
                <w:i/>
                <w:sz w:val="24"/>
                <w:szCs w:val="24"/>
              </w:rPr>
              <w:t xml:space="preserve"> </w:t>
            </w:r>
          </w:p>
          <w:p w:rsidR="0034661E" w:rsidRDefault="002F0A41" w:rsidP="00295B25">
            <w:pPr>
              <w:rPr>
                <w:i/>
                <w:sz w:val="24"/>
                <w:szCs w:val="24"/>
              </w:rPr>
            </w:pPr>
            <w:r w:rsidRPr="002F0A41">
              <w:rPr>
                <w:i/>
                <w:sz w:val="24"/>
                <w:szCs w:val="24"/>
              </w:rPr>
              <w:t>Vanessa Davie</w:t>
            </w:r>
            <w:r w:rsidR="0034661E">
              <w:rPr>
                <w:i/>
                <w:sz w:val="24"/>
                <w:szCs w:val="24"/>
              </w:rPr>
              <w:t>s</w:t>
            </w:r>
            <w:r w:rsidR="0034661E">
              <w:rPr>
                <w:i/>
                <w:sz w:val="24"/>
                <w:szCs w:val="24"/>
              </w:rPr>
              <w:tab/>
              <w:t>Director</w:t>
            </w:r>
            <w:r w:rsidR="00ED2639">
              <w:rPr>
                <w:i/>
                <w:sz w:val="24"/>
                <w:szCs w:val="24"/>
              </w:rPr>
              <w:t xml:space="preserve"> General</w:t>
            </w:r>
            <w:r w:rsidR="0034661E">
              <w:rPr>
                <w:i/>
                <w:sz w:val="24"/>
                <w:szCs w:val="24"/>
              </w:rPr>
              <w:t>,  Bar Standards Board</w:t>
            </w:r>
            <w:r w:rsidRPr="002F0A41">
              <w:rPr>
                <w:i/>
                <w:sz w:val="24"/>
                <w:szCs w:val="24"/>
              </w:rPr>
              <w:t xml:space="preserve"> </w:t>
            </w:r>
          </w:p>
          <w:p w:rsidR="0034661E" w:rsidRDefault="002F0A41" w:rsidP="00295B25">
            <w:pPr>
              <w:rPr>
                <w:i/>
                <w:sz w:val="24"/>
                <w:szCs w:val="24"/>
              </w:rPr>
            </w:pPr>
            <w:r w:rsidRPr="002F0A41">
              <w:rPr>
                <w:i/>
                <w:sz w:val="24"/>
                <w:szCs w:val="24"/>
              </w:rPr>
              <w:t>Sheila Hollingworth</w:t>
            </w:r>
            <w:r w:rsidR="0034661E">
              <w:rPr>
                <w:i/>
                <w:sz w:val="24"/>
                <w:szCs w:val="24"/>
              </w:rPr>
              <w:tab/>
              <w:t>Pa</w:t>
            </w:r>
            <w:r w:rsidR="00253B33">
              <w:rPr>
                <w:i/>
                <w:sz w:val="24"/>
                <w:szCs w:val="24"/>
              </w:rPr>
              <w:t>nellist, Disciplinary Tribunal P</w:t>
            </w:r>
            <w:r w:rsidR="0034661E">
              <w:rPr>
                <w:i/>
                <w:sz w:val="24"/>
                <w:szCs w:val="24"/>
              </w:rPr>
              <w:t xml:space="preserve">ool </w:t>
            </w:r>
          </w:p>
          <w:p w:rsidR="0034661E" w:rsidRDefault="002F0A41" w:rsidP="00295B25">
            <w:pPr>
              <w:rPr>
                <w:i/>
                <w:sz w:val="24"/>
                <w:szCs w:val="24"/>
              </w:rPr>
            </w:pPr>
            <w:r w:rsidRPr="002F0A41">
              <w:rPr>
                <w:i/>
                <w:sz w:val="24"/>
                <w:szCs w:val="24"/>
              </w:rPr>
              <w:t>Joan Martin</w:t>
            </w:r>
            <w:r w:rsidR="0034661E">
              <w:rPr>
                <w:i/>
                <w:sz w:val="24"/>
                <w:szCs w:val="24"/>
              </w:rPr>
              <w:tab/>
            </w:r>
            <w:r w:rsidR="0034661E">
              <w:rPr>
                <w:i/>
                <w:sz w:val="24"/>
                <w:szCs w:val="24"/>
              </w:rPr>
              <w:tab/>
              <w:t>Lay Member, Tribunal Appointments Body</w:t>
            </w:r>
          </w:p>
          <w:p w:rsidR="00B31E5C" w:rsidRDefault="00B31E5C" w:rsidP="00B31E5C">
            <w:pPr>
              <w:rPr>
                <w:i/>
                <w:sz w:val="24"/>
                <w:szCs w:val="24"/>
              </w:rPr>
            </w:pPr>
            <w:r w:rsidRPr="002F0A41">
              <w:rPr>
                <w:i/>
                <w:sz w:val="24"/>
                <w:szCs w:val="24"/>
              </w:rPr>
              <w:t>Heather Rogers</w:t>
            </w:r>
            <w:r>
              <w:rPr>
                <w:i/>
                <w:sz w:val="24"/>
                <w:szCs w:val="24"/>
              </w:rPr>
              <w:tab/>
              <w:t>Interim Chair, Inns</w:t>
            </w:r>
            <w:r w:rsidR="00473C71">
              <w:rPr>
                <w:i/>
                <w:sz w:val="24"/>
                <w:szCs w:val="24"/>
              </w:rPr>
              <w:t>’</w:t>
            </w:r>
            <w:r>
              <w:rPr>
                <w:i/>
                <w:sz w:val="24"/>
                <w:szCs w:val="24"/>
              </w:rPr>
              <w:t xml:space="preserve"> Conduct Committee</w:t>
            </w:r>
          </w:p>
          <w:p w:rsidR="002F0A41" w:rsidRPr="002F0A41" w:rsidRDefault="002F0A41" w:rsidP="00295B25">
            <w:pPr>
              <w:rPr>
                <w:i/>
                <w:sz w:val="24"/>
                <w:szCs w:val="24"/>
              </w:rPr>
            </w:pPr>
          </w:p>
          <w:p w:rsidR="00671B36" w:rsidRDefault="002F0A41" w:rsidP="00295B25">
            <w:pPr>
              <w:rPr>
                <w:b/>
                <w:i/>
                <w:sz w:val="24"/>
                <w:szCs w:val="24"/>
              </w:rPr>
            </w:pPr>
            <w:r w:rsidRPr="002F0A41">
              <w:rPr>
                <w:b/>
                <w:i/>
                <w:sz w:val="24"/>
                <w:szCs w:val="24"/>
              </w:rPr>
              <w:t xml:space="preserve">Apologies: </w:t>
            </w:r>
          </w:p>
          <w:p w:rsidR="00DF1213" w:rsidRDefault="00DF1213" w:rsidP="00DF1213">
            <w:pPr>
              <w:rPr>
                <w:i/>
                <w:sz w:val="24"/>
                <w:szCs w:val="24"/>
              </w:rPr>
            </w:pPr>
            <w:r w:rsidRPr="002F0A41">
              <w:rPr>
                <w:i/>
                <w:sz w:val="24"/>
                <w:szCs w:val="24"/>
              </w:rPr>
              <w:t>Malcolm Cohen</w:t>
            </w:r>
            <w:r>
              <w:rPr>
                <w:i/>
                <w:sz w:val="24"/>
                <w:szCs w:val="24"/>
              </w:rPr>
              <w:tab/>
              <w:t>Lay Board Member, Bar Standards Board</w:t>
            </w:r>
          </w:p>
          <w:p w:rsidR="00DF1213" w:rsidRDefault="00DF1213" w:rsidP="00DF1213">
            <w:pPr>
              <w:rPr>
                <w:i/>
                <w:sz w:val="24"/>
                <w:szCs w:val="24"/>
              </w:rPr>
            </w:pPr>
            <w:r w:rsidRPr="002F0A41">
              <w:rPr>
                <w:i/>
                <w:sz w:val="24"/>
                <w:szCs w:val="24"/>
              </w:rPr>
              <w:t>Emir Feisal</w:t>
            </w:r>
            <w:r>
              <w:rPr>
                <w:i/>
                <w:sz w:val="24"/>
                <w:szCs w:val="24"/>
              </w:rPr>
              <w:tab/>
            </w:r>
            <w:r>
              <w:rPr>
                <w:i/>
                <w:sz w:val="24"/>
                <w:szCs w:val="24"/>
              </w:rPr>
              <w:tab/>
              <w:t>Member, Inns</w:t>
            </w:r>
            <w:r w:rsidR="00473C71">
              <w:rPr>
                <w:i/>
                <w:sz w:val="24"/>
                <w:szCs w:val="24"/>
              </w:rPr>
              <w:t>’</w:t>
            </w:r>
            <w:r>
              <w:rPr>
                <w:i/>
                <w:sz w:val="24"/>
                <w:szCs w:val="24"/>
              </w:rPr>
              <w:t xml:space="preserve"> Conduct Committee</w:t>
            </w:r>
          </w:p>
          <w:p w:rsidR="00DF1213" w:rsidRPr="002F0A41" w:rsidRDefault="00DF1213" w:rsidP="00DF1213">
            <w:pPr>
              <w:rPr>
                <w:i/>
                <w:sz w:val="24"/>
                <w:szCs w:val="24"/>
              </w:rPr>
            </w:pPr>
            <w:r>
              <w:rPr>
                <w:i/>
                <w:sz w:val="24"/>
                <w:szCs w:val="24"/>
              </w:rPr>
              <w:t>Stuart Sleeman</w:t>
            </w:r>
            <w:r>
              <w:rPr>
                <w:i/>
                <w:sz w:val="24"/>
                <w:szCs w:val="24"/>
              </w:rPr>
              <w:tab/>
              <w:t>Chair, Disciplinary Tribunal Service</w:t>
            </w:r>
          </w:p>
          <w:p w:rsidR="00B31E5C" w:rsidRPr="002F0A41" w:rsidRDefault="00B31E5C" w:rsidP="00295B25">
            <w:pPr>
              <w:rPr>
                <w:i/>
                <w:sz w:val="24"/>
                <w:szCs w:val="24"/>
              </w:rPr>
            </w:pPr>
          </w:p>
          <w:p w:rsidR="001D28F0" w:rsidRDefault="002F0A41" w:rsidP="00295B25">
            <w:pPr>
              <w:rPr>
                <w:b/>
                <w:i/>
                <w:sz w:val="24"/>
                <w:szCs w:val="24"/>
              </w:rPr>
            </w:pPr>
            <w:r w:rsidRPr="002F0A41">
              <w:rPr>
                <w:b/>
                <w:i/>
                <w:sz w:val="24"/>
                <w:szCs w:val="24"/>
              </w:rPr>
              <w:t xml:space="preserve">In Attendance: </w:t>
            </w:r>
          </w:p>
          <w:p w:rsidR="001D28F0" w:rsidRDefault="00B31E5C" w:rsidP="00295B25">
            <w:pPr>
              <w:rPr>
                <w:i/>
                <w:sz w:val="24"/>
                <w:szCs w:val="24"/>
              </w:rPr>
            </w:pPr>
            <w:r>
              <w:rPr>
                <w:i/>
                <w:sz w:val="24"/>
                <w:szCs w:val="24"/>
              </w:rPr>
              <w:t>Margaret Hilson</w:t>
            </w:r>
            <w:r w:rsidR="001D28F0">
              <w:rPr>
                <w:i/>
                <w:sz w:val="24"/>
                <w:szCs w:val="24"/>
              </w:rPr>
              <w:tab/>
              <w:t>Administrator</w:t>
            </w:r>
            <w:r w:rsidR="004E7964">
              <w:rPr>
                <w:i/>
                <w:sz w:val="24"/>
                <w:szCs w:val="24"/>
              </w:rPr>
              <w:t>, BTAS</w:t>
            </w:r>
          </w:p>
          <w:p w:rsidR="00671B36" w:rsidRDefault="002F0A41" w:rsidP="00295B25">
            <w:pPr>
              <w:rPr>
                <w:i/>
                <w:sz w:val="24"/>
                <w:szCs w:val="24"/>
              </w:rPr>
            </w:pPr>
            <w:r w:rsidRPr="002F0A41">
              <w:rPr>
                <w:i/>
                <w:sz w:val="24"/>
                <w:szCs w:val="24"/>
              </w:rPr>
              <w:t>Andy Russell</w:t>
            </w:r>
            <w:r w:rsidR="001D28F0">
              <w:rPr>
                <w:i/>
                <w:sz w:val="24"/>
                <w:szCs w:val="24"/>
              </w:rPr>
              <w:tab/>
            </w:r>
            <w:r w:rsidR="001D28F0">
              <w:rPr>
                <w:i/>
                <w:sz w:val="24"/>
                <w:szCs w:val="24"/>
              </w:rPr>
              <w:tab/>
              <w:t>Registrar</w:t>
            </w:r>
            <w:r w:rsidR="004E7964">
              <w:rPr>
                <w:i/>
                <w:sz w:val="24"/>
                <w:szCs w:val="24"/>
              </w:rPr>
              <w:t>, BTAS</w:t>
            </w:r>
          </w:p>
          <w:p w:rsidR="002F0A41" w:rsidRDefault="002F0A41" w:rsidP="00295B25">
            <w:pPr>
              <w:rPr>
                <w:i/>
                <w:sz w:val="24"/>
                <w:szCs w:val="24"/>
              </w:rPr>
            </w:pPr>
            <w:r w:rsidRPr="002F0A41">
              <w:rPr>
                <w:i/>
                <w:sz w:val="24"/>
                <w:szCs w:val="24"/>
              </w:rPr>
              <w:t>James Wakefield</w:t>
            </w:r>
            <w:r w:rsidR="00671B36">
              <w:rPr>
                <w:i/>
                <w:sz w:val="24"/>
                <w:szCs w:val="24"/>
              </w:rPr>
              <w:tab/>
              <w:t>Director, COIC</w:t>
            </w:r>
          </w:p>
          <w:p w:rsidR="00DF1213" w:rsidRPr="002F0A41" w:rsidRDefault="00DF1213" w:rsidP="00295B25">
            <w:pPr>
              <w:rPr>
                <w:i/>
                <w:sz w:val="24"/>
                <w:szCs w:val="24"/>
              </w:rPr>
            </w:pPr>
            <w:r>
              <w:rPr>
                <w:i/>
                <w:sz w:val="24"/>
                <w:szCs w:val="24"/>
              </w:rPr>
              <w:t>Natasha Williams</w:t>
            </w:r>
            <w:r>
              <w:rPr>
                <w:i/>
                <w:sz w:val="24"/>
                <w:szCs w:val="24"/>
              </w:rPr>
              <w:tab/>
              <w:t>Business Support Officer, Bar Standards Board</w:t>
            </w:r>
          </w:p>
          <w:p w:rsidR="002F0A41" w:rsidRPr="002F0A41" w:rsidRDefault="002F0A41" w:rsidP="004A6EB7">
            <w:pPr>
              <w:rPr>
                <w:sz w:val="24"/>
                <w:szCs w:val="24"/>
              </w:rPr>
            </w:pPr>
          </w:p>
        </w:tc>
        <w:tc>
          <w:tcPr>
            <w:tcW w:w="1337" w:type="dxa"/>
          </w:tcPr>
          <w:p w:rsidR="005E2A67" w:rsidRPr="00F77D29" w:rsidRDefault="005E2A67" w:rsidP="00295B25">
            <w:pPr>
              <w:rPr>
                <w:sz w:val="24"/>
                <w:szCs w:val="24"/>
              </w:rPr>
            </w:pP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t>2</w:t>
            </w:r>
          </w:p>
          <w:p w:rsidR="003674B5" w:rsidRDefault="003674B5" w:rsidP="00295B25">
            <w:pPr>
              <w:rPr>
                <w:sz w:val="24"/>
                <w:szCs w:val="24"/>
              </w:rPr>
            </w:pPr>
          </w:p>
          <w:p w:rsidR="003674B5" w:rsidRDefault="003674B5" w:rsidP="00295B25">
            <w:pPr>
              <w:rPr>
                <w:sz w:val="24"/>
                <w:szCs w:val="24"/>
              </w:rPr>
            </w:pPr>
          </w:p>
          <w:p w:rsidR="003674B5" w:rsidRPr="00F77D29" w:rsidRDefault="003674B5" w:rsidP="00295B25">
            <w:pPr>
              <w:rPr>
                <w:sz w:val="24"/>
                <w:szCs w:val="24"/>
              </w:rPr>
            </w:pPr>
          </w:p>
        </w:tc>
        <w:tc>
          <w:tcPr>
            <w:tcW w:w="7088" w:type="dxa"/>
          </w:tcPr>
          <w:p w:rsidR="005E2A67" w:rsidRPr="00552C83" w:rsidRDefault="00295B25" w:rsidP="00295B25">
            <w:pPr>
              <w:rPr>
                <w:b/>
                <w:sz w:val="24"/>
                <w:szCs w:val="24"/>
              </w:rPr>
            </w:pPr>
            <w:r w:rsidRPr="00552C83">
              <w:rPr>
                <w:b/>
                <w:sz w:val="24"/>
                <w:szCs w:val="24"/>
              </w:rPr>
              <w:t>Minutes of the Last Meeting</w:t>
            </w:r>
          </w:p>
          <w:p w:rsidR="00EC617B" w:rsidRPr="00552C83" w:rsidRDefault="00EC617B" w:rsidP="00295B25">
            <w:pPr>
              <w:rPr>
                <w:b/>
                <w:sz w:val="24"/>
                <w:szCs w:val="24"/>
              </w:rPr>
            </w:pPr>
          </w:p>
          <w:p w:rsidR="00295B25" w:rsidRDefault="00EC617B" w:rsidP="004A6EB7">
            <w:pPr>
              <w:rPr>
                <w:sz w:val="24"/>
                <w:szCs w:val="24"/>
              </w:rPr>
            </w:pPr>
            <w:r w:rsidRPr="00552C83">
              <w:rPr>
                <w:sz w:val="24"/>
                <w:szCs w:val="24"/>
              </w:rPr>
              <w:t>The</w:t>
            </w:r>
            <w:r w:rsidR="00295B25" w:rsidRPr="00552C83">
              <w:rPr>
                <w:sz w:val="24"/>
                <w:szCs w:val="24"/>
              </w:rPr>
              <w:t xml:space="preserve"> minutes of the meeting held on </w:t>
            </w:r>
            <w:r w:rsidR="004A6EB7">
              <w:rPr>
                <w:sz w:val="24"/>
                <w:szCs w:val="24"/>
              </w:rPr>
              <w:t>4</w:t>
            </w:r>
            <w:r w:rsidR="004A6EB7" w:rsidRPr="004A6EB7">
              <w:rPr>
                <w:sz w:val="24"/>
                <w:szCs w:val="24"/>
                <w:vertAlign w:val="superscript"/>
              </w:rPr>
              <w:t>th</w:t>
            </w:r>
            <w:r w:rsidR="004A6EB7">
              <w:rPr>
                <w:sz w:val="24"/>
                <w:szCs w:val="24"/>
              </w:rPr>
              <w:t xml:space="preserve"> </w:t>
            </w:r>
            <w:r w:rsidR="00DF1213">
              <w:rPr>
                <w:sz w:val="24"/>
                <w:szCs w:val="24"/>
              </w:rPr>
              <w:t>March 2015 were confirmed</w:t>
            </w:r>
            <w:r w:rsidR="00214421">
              <w:rPr>
                <w:sz w:val="24"/>
                <w:szCs w:val="24"/>
              </w:rPr>
              <w:t xml:space="preserve"> and will be placed on the BTAS website</w:t>
            </w:r>
            <w:r w:rsidR="00DF1213">
              <w:rPr>
                <w:sz w:val="24"/>
                <w:szCs w:val="24"/>
              </w:rPr>
              <w:t>, subject to all references to “</w:t>
            </w:r>
            <w:r w:rsidR="00DF1213">
              <w:rPr>
                <w:i/>
                <w:sz w:val="24"/>
                <w:szCs w:val="24"/>
              </w:rPr>
              <w:t xml:space="preserve">Inns Conduct Committee” </w:t>
            </w:r>
            <w:r w:rsidR="00DF1213">
              <w:rPr>
                <w:sz w:val="24"/>
                <w:szCs w:val="24"/>
              </w:rPr>
              <w:t>being amended to “</w:t>
            </w:r>
            <w:r w:rsidR="00DF1213" w:rsidRPr="00DF1213">
              <w:rPr>
                <w:i/>
                <w:sz w:val="24"/>
                <w:szCs w:val="24"/>
              </w:rPr>
              <w:t>Inns</w:t>
            </w:r>
            <w:r w:rsidR="00DF1213" w:rsidRPr="00DF1213">
              <w:rPr>
                <w:i/>
                <w:sz w:val="24"/>
                <w:szCs w:val="24"/>
                <w:u w:val="single"/>
              </w:rPr>
              <w:t>’</w:t>
            </w:r>
            <w:r w:rsidR="00DF1213" w:rsidRPr="00DF1213">
              <w:rPr>
                <w:i/>
                <w:sz w:val="24"/>
                <w:szCs w:val="24"/>
              </w:rPr>
              <w:t xml:space="preserve"> Conduct Committee”</w:t>
            </w:r>
            <w:r w:rsidR="00214421">
              <w:rPr>
                <w:sz w:val="24"/>
                <w:szCs w:val="24"/>
              </w:rPr>
              <w:t>.</w:t>
            </w:r>
          </w:p>
          <w:p w:rsidR="004A6EB7" w:rsidRPr="00F77D29" w:rsidRDefault="004A6EB7" w:rsidP="004A6EB7">
            <w:pPr>
              <w:rPr>
                <w:sz w:val="24"/>
                <w:szCs w:val="24"/>
              </w:rPr>
            </w:pPr>
          </w:p>
        </w:tc>
        <w:tc>
          <w:tcPr>
            <w:tcW w:w="1337" w:type="dxa"/>
          </w:tcPr>
          <w:p w:rsidR="00214421" w:rsidRDefault="00214421" w:rsidP="00295B25">
            <w:pPr>
              <w:rPr>
                <w:sz w:val="24"/>
                <w:szCs w:val="24"/>
              </w:rPr>
            </w:pPr>
          </w:p>
          <w:p w:rsidR="00214421" w:rsidRDefault="00214421" w:rsidP="00295B25">
            <w:pPr>
              <w:rPr>
                <w:sz w:val="24"/>
                <w:szCs w:val="24"/>
              </w:rPr>
            </w:pPr>
          </w:p>
          <w:p w:rsidR="005E2A67" w:rsidRPr="00F77D29" w:rsidRDefault="00295B25" w:rsidP="00295B25">
            <w:pPr>
              <w:rPr>
                <w:sz w:val="24"/>
                <w:szCs w:val="24"/>
              </w:rPr>
            </w:pPr>
            <w:r w:rsidRPr="00F77D29">
              <w:rPr>
                <w:sz w:val="24"/>
                <w:szCs w:val="24"/>
              </w:rPr>
              <w:t>Annex A</w:t>
            </w:r>
          </w:p>
        </w:tc>
      </w:tr>
      <w:tr w:rsidR="005E2A67" w:rsidRPr="00F77D29" w:rsidTr="00F77D29">
        <w:trPr>
          <w:trHeight w:val="567"/>
        </w:trPr>
        <w:tc>
          <w:tcPr>
            <w:tcW w:w="817" w:type="dxa"/>
          </w:tcPr>
          <w:p w:rsidR="005E2A67" w:rsidRDefault="005E2A67" w:rsidP="00295B25">
            <w:pPr>
              <w:rPr>
                <w:sz w:val="24"/>
                <w:szCs w:val="24"/>
              </w:rPr>
            </w:pPr>
            <w:r w:rsidRPr="00F77D29">
              <w:rPr>
                <w:sz w:val="24"/>
                <w:szCs w:val="24"/>
              </w:rPr>
              <w:t>3</w:t>
            </w:r>
          </w:p>
          <w:p w:rsidR="00E6165E" w:rsidRDefault="00E6165E" w:rsidP="00295B25">
            <w:pPr>
              <w:rPr>
                <w:sz w:val="24"/>
                <w:szCs w:val="24"/>
              </w:rPr>
            </w:pPr>
          </w:p>
          <w:p w:rsidR="00E6165E" w:rsidRDefault="00E6165E" w:rsidP="00295B25">
            <w:pPr>
              <w:rPr>
                <w:sz w:val="24"/>
                <w:szCs w:val="24"/>
              </w:rPr>
            </w:pPr>
          </w:p>
          <w:p w:rsidR="00E6165E" w:rsidRDefault="00E6165E" w:rsidP="00295B25">
            <w:pPr>
              <w:rPr>
                <w:sz w:val="24"/>
                <w:szCs w:val="24"/>
              </w:rPr>
            </w:pPr>
          </w:p>
          <w:p w:rsidR="00AE5D93" w:rsidRPr="00F77D29" w:rsidRDefault="00AE5D93" w:rsidP="00ED2639">
            <w:pPr>
              <w:rPr>
                <w:sz w:val="24"/>
                <w:szCs w:val="24"/>
              </w:rPr>
            </w:pPr>
          </w:p>
        </w:tc>
        <w:tc>
          <w:tcPr>
            <w:tcW w:w="7088" w:type="dxa"/>
          </w:tcPr>
          <w:p w:rsidR="005E2A67" w:rsidRPr="00F77D29" w:rsidRDefault="00AE5D93" w:rsidP="00295B25">
            <w:pPr>
              <w:rPr>
                <w:b/>
                <w:sz w:val="24"/>
                <w:szCs w:val="24"/>
              </w:rPr>
            </w:pPr>
            <w:r w:rsidRPr="00F77D29">
              <w:rPr>
                <w:b/>
                <w:sz w:val="24"/>
                <w:szCs w:val="24"/>
              </w:rPr>
              <w:t>Actions from the Last Meeting</w:t>
            </w:r>
          </w:p>
          <w:p w:rsidR="00A44D03" w:rsidRPr="00F77D29" w:rsidRDefault="00A44D03" w:rsidP="00214421">
            <w:pPr>
              <w:rPr>
                <w:sz w:val="24"/>
                <w:szCs w:val="24"/>
              </w:rPr>
            </w:pPr>
          </w:p>
          <w:p w:rsidR="00295B25" w:rsidRDefault="00ED2639" w:rsidP="004A6EB7">
            <w:pPr>
              <w:rPr>
                <w:rFonts w:cs="Arial"/>
                <w:sz w:val="24"/>
                <w:szCs w:val="24"/>
              </w:rPr>
            </w:pPr>
            <w:r>
              <w:rPr>
                <w:rFonts w:cs="Arial"/>
                <w:sz w:val="24"/>
                <w:szCs w:val="24"/>
              </w:rPr>
              <w:t xml:space="preserve">The Board noted the update on actions from the last meeting as detailed in </w:t>
            </w:r>
            <w:r w:rsidR="004A6EB7">
              <w:rPr>
                <w:rFonts w:cs="Arial"/>
                <w:sz w:val="24"/>
                <w:szCs w:val="24"/>
              </w:rPr>
              <w:t>Annex B</w:t>
            </w:r>
            <w:r>
              <w:rPr>
                <w:rFonts w:cs="Arial"/>
                <w:sz w:val="24"/>
                <w:szCs w:val="24"/>
              </w:rPr>
              <w:t>.</w:t>
            </w:r>
          </w:p>
          <w:p w:rsidR="00D24DAB" w:rsidRDefault="00D24DAB" w:rsidP="004A6EB7">
            <w:pPr>
              <w:rPr>
                <w:rFonts w:cs="Arial"/>
                <w:sz w:val="24"/>
                <w:szCs w:val="24"/>
              </w:rPr>
            </w:pPr>
          </w:p>
          <w:p w:rsidR="0005246F" w:rsidRDefault="00D24DAB" w:rsidP="0005246F">
            <w:pPr>
              <w:rPr>
                <w:sz w:val="24"/>
                <w:szCs w:val="24"/>
              </w:rPr>
            </w:pPr>
            <w:r>
              <w:rPr>
                <w:rFonts w:cs="Arial"/>
                <w:sz w:val="24"/>
                <w:szCs w:val="24"/>
              </w:rPr>
              <w:lastRenderedPageBreak/>
              <w:t xml:space="preserve">With regard to Action 5 - </w:t>
            </w:r>
            <w:r w:rsidR="0005246F">
              <w:rPr>
                <w:rFonts w:cs="Arial"/>
                <w:sz w:val="24"/>
                <w:szCs w:val="24"/>
              </w:rPr>
              <w:t>c</w:t>
            </w:r>
            <w:r>
              <w:rPr>
                <w:sz w:val="24"/>
                <w:szCs w:val="24"/>
              </w:rPr>
              <w:t xml:space="preserve">irculate the BSB’s last analysis of cases investigated including ethnicity and diversity information – the Director General of the BSB informed the Board that </w:t>
            </w:r>
            <w:r w:rsidR="0005246F">
              <w:rPr>
                <w:sz w:val="24"/>
                <w:szCs w:val="24"/>
              </w:rPr>
              <w:t xml:space="preserve">the latest </w:t>
            </w:r>
            <w:r>
              <w:rPr>
                <w:sz w:val="24"/>
                <w:szCs w:val="24"/>
              </w:rPr>
              <w:t xml:space="preserve"> ‘snapshot’ of ethnicity and diversity data had been taken from their database in May. This was currently undergoing analysis, and an update would be provided to the Board after the summer.</w:t>
            </w:r>
            <w:r w:rsidR="0005246F">
              <w:rPr>
                <w:sz w:val="24"/>
                <w:szCs w:val="24"/>
              </w:rPr>
              <w:t xml:space="preserve"> It was agreed that this topic be put on the agenda of the December meeting, </w:t>
            </w:r>
            <w:r w:rsidR="0005246F" w:rsidRPr="005638CD">
              <w:rPr>
                <w:sz w:val="24"/>
                <w:szCs w:val="24"/>
              </w:rPr>
              <w:t xml:space="preserve">and </w:t>
            </w:r>
            <w:r w:rsidR="00924EFB" w:rsidRPr="005638CD">
              <w:rPr>
                <w:sz w:val="24"/>
                <w:szCs w:val="24"/>
              </w:rPr>
              <w:t xml:space="preserve">to </w:t>
            </w:r>
            <w:r w:rsidR="0005246F" w:rsidRPr="005638CD">
              <w:rPr>
                <w:sz w:val="24"/>
                <w:szCs w:val="24"/>
              </w:rPr>
              <w:t xml:space="preserve">circulate </w:t>
            </w:r>
            <w:r w:rsidR="0005246F">
              <w:rPr>
                <w:sz w:val="24"/>
                <w:szCs w:val="24"/>
              </w:rPr>
              <w:t>any further information as soon as it became available.</w:t>
            </w:r>
          </w:p>
          <w:p w:rsidR="00D24DAB" w:rsidRPr="004A6EB7" w:rsidRDefault="0005246F" w:rsidP="0005246F">
            <w:pPr>
              <w:rPr>
                <w:rFonts w:cs="Arial"/>
                <w:sz w:val="24"/>
                <w:szCs w:val="24"/>
              </w:rPr>
            </w:pPr>
            <w:r w:rsidRPr="0005246F">
              <w:rPr>
                <w:b/>
                <w:color w:val="FF0000"/>
                <w:sz w:val="24"/>
                <w:szCs w:val="24"/>
              </w:rPr>
              <w:t>Action 1: AR</w:t>
            </w:r>
            <w:r w:rsidR="00D24DAB" w:rsidRPr="0005246F">
              <w:rPr>
                <w:color w:val="FF0000"/>
                <w:sz w:val="24"/>
                <w:szCs w:val="24"/>
              </w:rPr>
              <w:t xml:space="preserve"> </w:t>
            </w:r>
          </w:p>
        </w:tc>
        <w:tc>
          <w:tcPr>
            <w:tcW w:w="1337" w:type="dxa"/>
          </w:tcPr>
          <w:p w:rsidR="00A44D03" w:rsidRPr="00F77D29" w:rsidRDefault="00A44D03" w:rsidP="00295B25">
            <w:pPr>
              <w:rPr>
                <w:sz w:val="24"/>
                <w:szCs w:val="24"/>
              </w:rPr>
            </w:pPr>
          </w:p>
          <w:p w:rsidR="00A44D03" w:rsidRPr="00F77D29" w:rsidRDefault="00A44D03" w:rsidP="00295B25">
            <w:pPr>
              <w:rPr>
                <w:sz w:val="24"/>
                <w:szCs w:val="24"/>
              </w:rPr>
            </w:pPr>
          </w:p>
          <w:p w:rsidR="005E2A67" w:rsidRPr="00F77D29" w:rsidRDefault="00295B25" w:rsidP="00ED2639">
            <w:pPr>
              <w:rPr>
                <w:sz w:val="24"/>
                <w:szCs w:val="24"/>
              </w:rPr>
            </w:pPr>
            <w:r w:rsidRPr="00F77D29">
              <w:rPr>
                <w:sz w:val="24"/>
                <w:szCs w:val="24"/>
              </w:rPr>
              <w:t>Annex B</w:t>
            </w:r>
          </w:p>
        </w:tc>
      </w:tr>
      <w:tr w:rsidR="005E2A67" w:rsidRPr="00F77D29" w:rsidTr="00F77D29">
        <w:trPr>
          <w:trHeight w:val="567"/>
        </w:trPr>
        <w:tc>
          <w:tcPr>
            <w:tcW w:w="817" w:type="dxa"/>
          </w:tcPr>
          <w:p w:rsidR="005E2A67" w:rsidRPr="00F77D29" w:rsidRDefault="005E2A67" w:rsidP="00295B25">
            <w:pPr>
              <w:rPr>
                <w:sz w:val="24"/>
                <w:szCs w:val="24"/>
              </w:rPr>
            </w:pPr>
            <w:r w:rsidRPr="00F77D29">
              <w:rPr>
                <w:sz w:val="24"/>
                <w:szCs w:val="24"/>
              </w:rPr>
              <w:lastRenderedPageBreak/>
              <w:t>4</w:t>
            </w:r>
          </w:p>
          <w:p w:rsidR="006014EC" w:rsidRPr="00F77D29" w:rsidRDefault="006014EC" w:rsidP="00295B25">
            <w:pPr>
              <w:rPr>
                <w:sz w:val="24"/>
                <w:szCs w:val="24"/>
              </w:rPr>
            </w:pPr>
          </w:p>
          <w:p w:rsidR="006014EC" w:rsidRDefault="006014EC" w:rsidP="00295B25">
            <w:pPr>
              <w:rPr>
                <w:sz w:val="24"/>
                <w:szCs w:val="24"/>
              </w:rPr>
            </w:pPr>
            <w:r w:rsidRPr="00F77D29">
              <w:rPr>
                <w:sz w:val="24"/>
                <w:szCs w:val="24"/>
              </w:rPr>
              <w:t>4.1</w:t>
            </w:r>
          </w:p>
          <w:p w:rsidR="004A6EB7" w:rsidRDefault="004A6EB7" w:rsidP="00295B25">
            <w:pPr>
              <w:rPr>
                <w:sz w:val="24"/>
                <w:szCs w:val="24"/>
              </w:rPr>
            </w:pPr>
          </w:p>
          <w:p w:rsidR="004A6EB7" w:rsidRDefault="004A6EB7" w:rsidP="00295B25">
            <w:pPr>
              <w:rPr>
                <w:sz w:val="24"/>
                <w:szCs w:val="24"/>
              </w:rPr>
            </w:pPr>
          </w:p>
          <w:p w:rsidR="00ED474D" w:rsidRDefault="00ED474D" w:rsidP="00295B25">
            <w:pPr>
              <w:rPr>
                <w:sz w:val="24"/>
                <w:szCs w:val="24"/>
              </w:rPr>
            </w:pPr>
          </w:p>
          <w:p w:rsidR="004A6EB7" w:rsidRDefault="004A6EB7" w:rsidP="00295B25">
            <w:pPr>
              <w:rPr>
                <w:sz w:val="24"/>
                <w:szCs w:val="24"/>
              </w:rPr>
            </w:pPr>
          </w:p>
          <w:p w:rsidR="007A778C" w:rsidRDefault="007A778C" w:rsidP="00295B25">
            <w:pPr>
              <w:rPr>
                <w:sz w:val="24"/>
                <w:szCs w:val="24"/>
              </w:rPr>
            </w:pPr>
          </w:p>
          <w:p w:rsidR="007A778C" w:rsidRDefault="007A778C" w:rsidP="00295B25">
            <w:pPr>
              <w:rPr>
                <w:sz w:val="24"/>
                <w:szCs w:val="24"/>
              </w:rPr>
            </w:pPr>
          </w:p>
          <w:p w:rsidR="004A6EB7" w:rsidRDefault="004A6EB7" w:rsidP="00295B25">
            <w:pPr>
              <w:rPr>
                <w:sz w:val="24"/>
                <w:szCs w:val="24"/>
              </w:rPr>
            </w:pPr>
          </w:p>
          <w:p w:rsidR="004A6EB7" w:rsidRDefault="004A6EB7" w:rsidP="00295B25">
            <w:pPr>
              <w:rPr>
                <w:sz w:val="24"/>
                <w:szCs w:val="24"/>
              </w:rPr>
            </w:pPr>
            <w:r>
              <w:rPr>
                <w:sz w:val="24"/>
                <w:szCs w:val="24"/>
              </w:rPr>
              <w:t>4.2</w:t>
            </w:r>
          </w:p>
          <w:p w:rsidR="0042272E" w:rsidRDefault="0042272E" w:rsidP="00295B25">
            <w:pPr>
              <w:rPr>
                <w:sz w:val="24"/>
                <w:szCs w:val="24"/>
              </w:rPr>
            </w:pPr>
          </w:p>
          <w:p w:rsidR="001609B3" w:rsidRPr="00F77D29" w:rsidRDefault="001609B3" w:rsidP="00ED2639">
            <w:pPr>
              <w:rPr>
                <w:sz w:val="24"/>
                <w:szCs w:val="24"/>
              </w:rPr>
            </w:pPr>
          </w:p>
        </w:tc>
        <w:tc>
          <w:tcPr>
            <w:tcW w:w="7088" w:type="dxa"/>
          </w:tcPr>
          <w:p w:rsidR="005E2A67" w:rsidRPr="00F77D29" w:rsidRDefault="00AE5D93" w:rsidP="00295B25">
            <w:pPr>
              <w:rPr>
                <w:b/>
                <w:sz w:val="24"/>
                <w:szCs w:val="24"/>
              </w:rPr>
            </w:pPr>
            <w:r w:rsidRPr="00F77D29">
              <w:rPr>
                <w:b/>
                <w:sz w:val="24"/>
                <w:szCs w:val="24"/>
              </w:rPr>
              <w:t>Matters Arising</w:t>
            </w:r>
            <w:r w:rsidR="00D24FFD">
              <w:rPr>
                <w:b/>
                <w:sz w:val="24"/>
                <w:szCs w:val="24"/>
              </w:rPr>
              <w:t xml:space="preserve"> from the Minutes</w:t>
            </w:r>
          </w:p>
          <w:p w:rsidR="001609B3" w:rsidRDefault="001609B3" w:rsidP="00AE5D93">
            <w:pPr>
              <w:rPr>
                <w:sz w:val="24"/>
                <w:szCs w:val="24"/>
              </w:rPr>
            </w:pPr>
          </w:p>
          <w:p w:rsidR="00ED474D" w:rsidRDefault="0005246F" w:rsidP="004A6EB7">
            <w:pPr>
              <w:rPr>
                <w:sz w:val="24"/>
                <w:szCs w:val="24"/>
              </w:rPr>
            </w:pPr>
            <w:r>
              <w:rPr>
                <w:sz w:val="24"/>
                <w:szCs w:val="24"/>
              </w:rPr>
              <w:t>Inns’ Conduct Committee Rules (Minute 4</w:t>
            </w:r>
            <w:r w:rsidR="004A6EB7">
              <w:rPr>
                <w:sz w:val="24"/>
                <w:szCs w:val="24"/>
              </w:rPr>
              <w:t>.2, 04.</w:t>
            </w:r>
            <w:r>
              <w:rPr>
                <w:sz w:val="24"/>
                <w:szCs w:val="24"/>
              </w:rPr>
              <w:t>03.15</w:t>
            </w:r>
            <w:r w:rsidR="004A6EB7">
              <w:rPr>
                <w:sz w:val="24"/>
                <w:szCs w:val="24"/>
              </w:rPr>
              <w:t xml:space="preserve"> refers) – </w:t>
            </w:r>
          </w:p>
          <w:p w:rsidR="00F62A2B" w:rsidRDefault="004A6EB7" w:rsidP="004A6EB7">
            <w:pPr>
              <w:rPr>
                <w:rFonts w:cs="Helvetica"/>
                <w:iCs/>
                <w:sz w:val="24"/>
                <w:szCs w:val="24"/>
              </w:rPr>
            </w:pPr>
            <w:r>
              <w:rPr>
                <w:sz w:val="24"/>
                <w:szCs w:val="24"/>
              </w:rPr>
              <w:t xml:space="preserve">The </w:t>
            </w:r>
            <w:r w:rsidR="00D53A1D">
              <w:rPr>
                <w:sz w:val="24"/>
                <w:szCs w:val="24"/>
              </w:rPr>
              <w:t xml:space="preserve">Registrar advised the </w:t>
            </w:r>
            <w:r w:rsidR="0005246F">
              <w:rPr>
                <w:sz w:val="24"/>
                <w:szCs w:val="24"/>
              </w:rPr>
              <w:t xml:space="preserve">Board </w:t>
            </w:r>
            <w:r w:rsidR="00D53A1D">
              <w:rPr>
                <w:sz w:val="24"/>
                <w:szCs w:val="24"/>
              </w:rPr>
              <w:t xml:space="preserve">that the COIC Trustees had approved the proposed new ICC Rules at their meeting on 27 April 2015. </w:t>
            </w:r>
            <w:r w:rsidR="00D53A1D" w:rsidRPr="00D53A1D">
              <w:rPr>
                <w:sz w:val="24"/>
                <w:szCs w:val="24"/>
              </w:rPr>
              <w:t xml:space="preserve">Members </w:t>
            </w:r>
            <w:r w:rsidR="0005246F" w:rsidRPr="00D53A1D">
              <w:rPr>
                <w:sz w:val="24"/>
                <w:szCs w:val="24"/>
              </w:rPr>
              <w:t xml:space="preserve">were very pleased to </w:t>
            </w:r>
            <w:r w:rsidR="00D53A1D" w:rsidRPr="00D53A1D">
              <w:rPr>
                <w:sz w:val="24"/>
                <w:szCs w:val="24"/>
              </w:rPr>
              <w:t>note</w:t>
            </w:r>
            <w:r w:rsidR="0005246F" w:rsidRPr="00D53A1D">
              <w:rPr>
                <w:sz w:val="24"/>
                <w:szCs w:val="24"/>
              </w:rPr>
              <w:t xml:space="preserve"> that</w:t>
            </w:r>
            <w:r w:rsidR="00D53A1D" w:rsidRPr="00D53A1D">
              <w:rPr>
                <w:sz w:val="24"/>
                <w:szCs w:val="24"/>
              </w:rPr>
              <w:t xml:space="preserve"> </w:t>
            </w:r>
            <w:r w:rsidR="00D53A1D" w:rsidRPr="00D53A1D">
              <w:rPr>
                <w:rFonts w:cs="Helvetica"/>
                <w:iCs/>
                <w:sz w:val="24"/>
                <w:szCs w:val="24"/>
              </w:rPr>
              <w:t xml:space="preserve">COIC had </w:t>
            </w:r>
            <w:r w:rsidR="00D53A1D">
              <w:rPr>
                <w:rFonts w:cs="Helvetica"/>
                <w:iCs/>
                <w:sz w:val="24"/>
                <w:szCs w:val="24"/>
              </w:rPr>
              <w:t xml:space="preserve">welcomed </w:t>
            </w:r>
            <w:r w:rsidR="007A778C">
              <w:rPr>
                <w:rFonts w:cs="Helvetica"/>
                <w:iCs/>
                <w:sz w:val="24"/>
                <w:szCs w:val="24"/>
              </w:rPr>
              <w:t>and reflected on the comments that the SAB had offered on the proposed draft, and that the version submitted by COIC to the BSB for approval incorporated all of SAB’s suggestions.</w:t>
            </w:r>
          </w:p>
          <w:p w:rsidR="007A778C" w:rsidRDefault="007A778C" w:rsidP="004A6EB7">
            <w:pPr>
              <w:rPr>
                <w:rFonts w:cs="Helvetica"/>
                <w:iCs/>
                <w:sz w:val="24"/>
                <w:szCs w:val="24"/>
              </w:rPr>
            </w:pPr>
          </w:p>
          <w:p w:rsidR="007A778C" w:rsidRDefault="007A778C" w:rsidP="007A778C">
            <w:pPr>
              <w:rPr>
                <w:sz w:val="24"/>
                <w:szCs w:val="24"/>
              </w:rPr>
            </w:pPr>
            <w:r>
              <w:rPr>
                <w:sz w:val="24"/>
                <w:szCs w:val="24"/>
              </w:rPr>
              <w:t xml:space="preserve">New Appraisal Policy (Minute 8.1, 04.03.15 refers) – </w:t>
            </w:r>
          </w:p>
          <w:p w:rsidR="004A6EB7" w:rsidRDefault="00F354E1" w:rsidP="00F273ED">
            <w:pPr>
              <w:pStyle w:val="yiv1194566644msonormal"/>
              <w:shd w:val="clear" w:color="auto" w:fill="FFFFFF"/>
              <w:spacing w:before="0" w:beforeAutospacing="0" w:after="0" w:afterAutospacing="0"/>
              <w:rPr>
                <w:rFonts w:asciiTheme="minorHAnsi" w:hAnsiTheme="minorHAnsi"/>
              </w:rPr>
            </w:pPr>
            <w:r>
              <w:rPr>
                <w:rFonts w:asciiTheme="minorHAnsi" w:hAnsiTheme="minorHAnsi"/>
              </w:rPr>
              <w:t>The Regist</w:t>
            </w:r>
            <w:r w:rsidR="007A778C" w:rsidRPr="007A778C">
              <w:rPr>
                <w:rFonts w:asciiTheme="minorHAnsi" w:hAnsiTheme="minorHAnsi"/>
              </w:rPr>
              <w:t>r</w:t>
            </w:r>
            <w:r>
              <w:rPr>
                <w:rFonts w:asciiTheme="minorHAnsi" w:hAnsiTheme="minorHAnsi"/>
              </w:rPr>
              <w:t>ar</w:t>
            </w:r>
            <w:r w:rsidR="007A778C" w:rsidRPr="007A778C">
              <w:rPr>
                <w:rFonts w:asciiTheme="minorHAnsi" w:hAnsiTheme="minorHAnsi"/>
              </w:rPr>
              <w:t xml:space="preserve"> adv</w:t>
            </w:r>
            <w:r w:rsidR="007A778C">
              <w:rPr>
                <w:rFonts w:asciiTheme="minorHAnsi" w:hAnsiTheme="minorHAnsi"/>
              </w:rPr>
              <w:t>ised the Board that the COIC Trustees had approved the new Appraisal Policy for Panel Members and Clerks, which would come into effect from 1 October 2015.</w:t>
            </w:r>
            <w:r w:rsidR="00F273ED">
              <w:rPr>
                <w:rFonts w:asciiTheme="minorHAnsi" w:hAnsiTheme="minorHAnsi"/>
              </w:rPr>
              <w:t xml:space="preserve"> The Chair reminded the Board that this had been drafted by a SAB Working Group, and the SAB thanked the members of the Group for their efforts, particularly Sheila Hollingworth who had prepared the accompanying new competency framework for panellists, which had also been fully approved by COIC.</w:t>
            </w:r>
          </w:p>
          <w:p w:rsidR="000E2161" w:rsidRPr="007A778C" w:rsidRDefault="000E2161" w:rsidP="00F273ED">
            <w:pPr>
              <w:pStyle w:val="yiv1194566644msonormal"/>
              <w:shd w:val="clear" w:color="auto" w:fill="FFFFFF"/>
              <w:spacing w:before="0" w:beforeAutospacing="0" w:after="0" w:afterAutospacing="0"/>
              <w:rPr>
                <w:rFonts w:asciiTheme="minorHAnsi" w:hAnsiTheme="minorHAnsi"/>
              </w:rPr>
            </w:pPr>
          </w:p>
        </w:tc>
        <w:tc>
          <w:tcPr>
            <w:tcW w:w="1337" w:type="dxa"/>
          </w:tcPr>
          <w:p w:rsidR="005E2A67" w:rsidRDefault="005E2A67" w:rsidP="00295B25">
            <w:pPr>
              <w:rPr>
                <w:sz w:val="24"/>
                <w:szCs w:val="24"/>
              </w:rPr>
            </w:pPr>
          </w:p>
          <w:p w:rsidR="0042272E" w:rsidRDefault="0042272E" w:rsidP="00295B25">
            <w:pPr>
              <w:rPr>
                <w:sz w:val="24"/>
                <w:szCs w:val="24"/>
              </w:rPr>
            </w:pPr>
          </w:p>
          <w:p w:rsidR="008D110E" w:rsidRDefault="008D110E" w:rsidP="00295B25">
            <w:pPr>
              <w:rPr>
                <w:sz w:val="24"/>
                <w:szCs w:val="24"/>
              </w:rPr>
            </w:pPr>
          </w:p>
          <w:p w:rsidR="008D110E" w:rsidRDefault="008D110E" w:rsidP="00295B25">
            <w:pPr>
              <w:rPr>
                <w:sz w:val="24"/>
                <w:szCs w:val="24"/>
              </w:rPr>
            </w:pPr>
          </w:p>
          <w:p w:rsidR="0042272E" w:rsidRDefault="0042272E" w:rsidP="00295B25">
            <w:pPr>
              <w:rPr>
                <w:sz w:val="24"/>
                <w:szCs w:val="24"/>
              </w:rPr>
            </w:pPr>
          </w:p>
          <w:p w:rsidR="0042272E" w:rsidRDefault="0042272E"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Default="004A6EB7" w:rsidP="00295B25">
            <w:pPr>
              <w:rPr>
                <w:sz w:val="24"/>
                <w:szCs w:val="24"/>
              </w:rPr>
            </w:pPr>
          </w:p>
          <w:p w:rsidR="004A6EB7" w:rsidRPr="00F77D29" w:rsidRDefault="004A6EB7" w:rsidP="00295B25">
            <w:pPr>
              <w:rPr>
                <w:sz w:val="24"/>
                <w:szCs w:val="24"/>
              </w:rPr>
            </w:pPr>
          </w:p>
        </w:tc>
      </w:tr>
      <w:tr w:rsidR="005E2A67" w:rsidTr="00F77D29">
        <w:trPr>
          <w:trHeight w:val="567"/>
        </w:trPr>
        <w:tc>
          <w:tcPr>
            <w:tcW w:w="817" w:type="dxa"/>
          </w:tcPr>
          <w:p w:rsidR="005E2A67" w:rsidRDefault="005E2A67" w:rsidP="00295B25">
            <w:pPr>
              <w:rPr>
                <w:sz w:val="24"/>
                <w:szCs w:val="24"/>
              </w:rPr>
            </w:pPr>
            <w:r w:rsidRPr="005E2A67">
              <w:rPr>
                <w:sz w:val="24"/>
                <w:szCs w:val="24"/>
              </w:rPr>
              <w:t>5</w:t>
            </w:r>
          </w:p>
          <w:p w:rsidR="007A7044" w:rsidRDefault="007A7044" w:rsidP="00295B25">
            <w:pPr>
              <w:rPr>
                <w:sz w:val="24"/>
                <w:szCs w:val="24"/>
              </w:rPr>
            </w:pPr>
          </w:p>
          <w:p w:rsidR="007A7044" w:rsidRDefault="007A7044" w:rsidP="00295B25">
            <w:pPr>
              <w:rPr>
                <w:sz w:val="24"/>
                <w:szCs w:val="24"/>
              </w:rPr>
            </w:pPr>
            <w:r>
              <w:rPr>
                <w:sz w:val="24"/>
                <w:szCs w:val="24"/>
              </w:rPr>
              <w:t>5.1</w:t>
            </w:r>
          </w:p>
          <w:p w:rsidR="007A7044" w:rsidRDefault="007A7044" w:rsidP="00295B25">
            <w:pPr>
              <w:rPr>
                <w:sz w:val="24"/>
                <w:szCs w:val="24"/>
              </w:rPr>
            </w:pPr>
          </w:p>
          <w:p w:rsidR="007A7044" w:rsidRDefault="007A7044" w:rsidP="00295B25">
            <w:pPr>
              <w:rPr>
                <w:sz w:val="24"/>
                <w:szCs w:val="24"/>
              </w:rPr>
            </w:pPr>
          </w:p>
          <w:p w:rsidR="007A7044" w:rsidRDefault="007A7044" w:rsidP="00295B25">
            <w:pPr>
              <w:rPr>
                <w:sz w:val="24"/>
                <w:szCs w:val="24"/>
              </w:rPr>
            </w:pPr>
          </w:p>
          <w:p w:rsidR="007A7044" w:rsidRDefault="007A7044" w:rsidP="00295B25">
            <w:pPr>
              <w:rPr>
                <w:sz w:val="24"/>
                <w:szCs w:val="24"/>
              </w:rPr>
            </w:pPr>
          </w:p>
          <w:p w:rsidR="007A7044" w:rsidRDefault="007A7044" w:rsidP="00295B25">
            <w:pPr>
              <w:rPr>
                <w:sz w:val="24"/>
                <w:szCs w:val="24"/>
              </w:rPr>
            </w:pPr>
          </w:p>
          <w:p w:rsidR="007A7044" w:rsidRDefault="007A7044" w:rsidP="00295B25">
            <w:pPr>
              <w:rPr>
                <w:sz w:val="24"/>
                <w:szCs w:val="24"/>
              </w:rPr>
            </w:pPr>
          </w:p>
          <w:p w:rsidR="007A7044" w:rsidRDefault="007A7044" w:rsidP="00295B25">
            <w:pPr>
              <w:rPr>
                <w:sz w:val="24"/>
                <w:szCs w:val="24"/>
              </w:rPr>
            </w:pPr>
          </w:p>
          <w:p w:rsidR="007A7044" w:rsidRDefault="007A7044" w:rsidP="00295B25">
            <w:pPr>
              <w:rPr>
                <w:sz w:val="24"/>
                <w:szCs w:val="24"/>
              </w:rPr>
            </w:pPr>
          </w:p>
          <w:p w:rsidR="007A7044" w:rsidRDefault="007A7044" w:rsidP="00295B25">
            <w:pPr>
              <w:rPr>
                <w:sz w:val="24"/>
                <w:szCs w:val="24"/>
              </w:rPr>
            </w:pPr>
            <w:r>
              <w:rPr>
                <w:sz w:val="24"/>
                <w:szCs w:val="24"/>
              </w:rPr>
              <w:t>5.2</w:t>
            </w:r>
          </w:p>
          <w:p w:rsidR="00892E8D" w:rsidRDefault="00892E8D" w:rsidP="00295B25">
            <w:pPr>
              <w:rPr>
                <w:sz w:val="24"/>
                <w:szCs w:val="24"/>
              </w:rPr>
            </w:pPr>
          </w:p>
          <w:p w:rsidR="0042272E" w:rsidRDefault="0042272E" w:rsidP="00295B25">
            <w:pPr>
              <w:rPr>
                <w:sz w:val="24"/>
                <w:szCs w:val="24"/>
              </w:rPr>
            </w:pPr>
          </w:p>
          <w:p w:rsidR="0062714C" w:rsidRDefault="0062714C" w:rsidP="00295B25">
            <w:pPr>
              <w:rPr>
                <w:sz w:val="24"/>
                <w:szCs w:val="24"/>
              </w:rPr>
            </w:pPr>
          </w:p>
          <w:p w:rsidR="00116EB5" w:rsidRDefault="00116EB5" w:rsidP="00295B25">
            <w:pPr>
              <w:rPr>
                <w:sz w:val="24"/>
                <w:szCs w:val="24"/>
              </w:rPr>
            </w:pPr>
          </w:p>
          <w:p w:rsidR="006311F1" w:rsidRPr="005E2A67" w:rsidRDefault="006311F1" w:rsidP="00295B25">
            <w:pPr>
              <w:rPr>
                <w:sz w:val="24"/>
                <w:szCs w:val="24"/>
              </w:rPr>
            </w:pPr>
          </w:p>
        </w:tc>
        <w:tc>
          <w:tcPr>
            <w:tcW w:w="7088" w:type="dxa"/>
          </w:tcPr>
          <w:p w:rsidR="0042272E" w:rsidRDefault="000A7A8A" w:rsidP="00295B25">
            <w:pPr>
              <w:rPr>
                <w:b/>
                <w:sz w:val="24"/>
                <w:szCs w:val="24"/>
              </w:rPr>
            </w:pPr>
            <w:r>
              <w:rPr>
                <w:b/>
                <w:sz w:val="24"/>
                <w:szCs w:val="24"/>
              </w:rPr>
              <w:t>Entity Sentencing Guidance</w:t>
            </w:r>
          </w:p>
          <w:p w:rsidR="00451E77" w:rsidRDefault="00451E77" w:rsidP="00295B25">
            <w:pPr>
              <w:rPr>
                <w:b/>
                <w:sz w:val="24"/>
                <w:szCs w:val="24"/>
              </w:rPr>
            </w:pPr>
          </w:p>
          <w:p w:rsidR="00275345" w:rsidRDefault="00451E77" w:rsidP="005C34AD">
            <w:pPr>
              <w:rPr>
                <w:b/>
                <w:color w:val="FF0000"/>
                <w:sz w:val="24"/>
                <w:szCs w:val="24"/>
              </w:rPr>
            </w:pPr>
            <w:r>
              <w:rPr>
                <w:sz w:val="24"/>
                <w:szCs w:val="24"/>
              </w:rPr>
              <w:t xml:space="preserve">The </w:t>
            </w:r>
            <w:r w:rsidR="005C34AD">
              <w:rPr>
                <w:sz w:val="24"/>
                <w:szCs w:val="24"/>
              </w:rPr>
              <w:t xml:space="preserve">SAB fully </w:t>
            </w:r>
            <w:r w:rsidR="00275345">
              <w:rPr>
                <w:sz w:val="24"/>
                <w:szCs w:val="24"/>
              </w:rPr>
              <w:t xml:space="preserve">endorsed the proposed entity-specific revisions to the current version of the BTAS </w:t>
            </w:r>
            <w:r w:rsidR="00275345" w:rsidRPr="00275345">
              <w:rPr>
                <w:i/>
                <w:sz w:val="24"/>
                <w:szCs w:val="24"/>
              </w:rPr>
              <w:t>Sentencing Guidance</w:t>
            </w:r>
            <w:r w:rsidR="00275345" w:rsidRPr="00275345">
              <w:rPr>
                <w:sz w:val="24"/>
                <w:szCs w:val="24"/>
              </w:rPr>
              <w:t>, subject to</w:t>
            </w:r>
            <w:r w:rsidR="00275345">
              <w:rPr>
                <w:sz w:val="24"/>
                <w:szCs w:val="24"/>
              </w:rPr>
              <w:t xml:space="preserve"> the guidance for Discourtesy (‘C.8’) being revised to make clear documents are signed </w:t>
            </w:r>
            <w:r w:rsidR="00275345" w:rsidRPr="00275345">
              <w:rPr>
                <w:i/>
                <w:sz w:val="24"/>
                <w:szCs w:val="24"/>
              </w:rPr>
              <w:t>on behalf of</w:t>
            </w:r>
            <w:r w:rsidR="00275345">
              <w:rPr>
                <w:sz w:val="24"/>
                <w:szCs w:val="24"/>
              </w:rPr>
              <w:t xml:space="preserve">, not </w:t>
            </w:r>
            <w:r w:rsidR="00275345" w:rsidRPr="00275345">
              <w:rPr>
                <w:i/>
                <w:sz w:val="24"/>
                <w:szCs w:val="24"/>
              </w:rPr>
              <w:t>by</w:t>
            </w:r>
            <w:r w:rsidR="00275345">
              <w:rPr>
                <w:sz w:val="24"/>
                <w:szCs w:val="24"/>
              </w:rPr>
              <w:t xml:space="preserve">, an entity. </w:t>
            </w:r>
            <w:r w:rsidR="00275345">
              <w:rPr>
                <w:b/>
                <w:color w:val="FF0000"/>
                <w:sz w:val="24"/>
                <w:szCs w:val="24"/>
              </w:rPr>
              <w:t>Action 2</w:t>
            </w:r>
            <w:r w:rsidR="00275345" w:rsidRPr="0005246F">
              <w:rPr>
                <w:b/>
                <w:color w:val="FF0000"/>
                <w:sz w:val="24"/>
                <w:szCs w:val="24"/>
              </w:rPr>
              <w:t>: AR</w:t>
            </w:r>
          </w:p>
          <w:p w:rsidR="00275345" w:rsidRDefault="00275345" w:rsidP="005C34AD">
            <w:pPr>
              <w:rPr>
                <w:b/>
                <w:color w:val="FF0000"/>
                <w:sz w:val="24"/>
                <w:szCs w:val="24"/>
              </w:rPr>
            </w:pPr>
          </w:p>
          <w:p w:rsidR="00DA66E5" w:rsidRPr="00DA66E5" w:rsidRDefault="00DA66E5" w:rsidP="005C34AD">
            <w:pPr>
              <w:rPr>
                <w:sz w:val="24"/>
                <w:szCs w:val="24"/>
              </w:rPr>
            </w:pPr>
            <w:r>
              <w:rPr>
                <w:sz w:val="24"/>
                <w:szCs w:val="24"/>
              </w:rPr>
              <w:t>The SAB thank</w:t>
            </w:r>
            <w:r w:rsidRPr="00DA66E5">
              <w:rPr>
                <w:sz w:val="24"/>
                <w:szCs w:val="24"/>
              </w:rPr>
              <w:t>ed t</w:t>
            </w:r>
            <w:r>
              <w:rPr>
                <w:sz w:val="24"/>
                <w:szCs w:val="24"/>
              </w:rPr>
              <w:t>he Working Group who had developed the guidance for their work, and noted that the Group’s membership was representative of all key interested parties.</w:t>
            </w:r>
          </w:p>
          <w:p w:rsidR="00DA66E5" w:rsidRDefault="00DA66E5" w:rsidP="005C34AD">
            <w:pPr>
              <w:rPr>
                <w:b/>
                <w:color w:val="FF0000"/>
                <w:sz w:val="24"/>
                <w:szCs w:val="24"/>
              </w:rPr>
            </w:pPr>
          </w:p>
          <w:p w:rsidR="00275345" w:rsidRDefault="00275345" w:rsidP="005C34AD">
            <w:pPr>
              <w:rPr>
                <w:sz w:val="24"/>
                <w:szCs w:val="24"/>
              </w:rPr>
            </w:pPr>
            <w:r>
              <w:rPr>
                <w:sz w:val="24"/>
                <w:szCs w:val="24"/>
              </w:rPr>
              <w:t>The SAB agreed that</w:t>
            </w:r>
            <w:r w:rsidR="009F1307">
              <w:rPr>
                <w:sz w:val="24"/>
                <w:szCs w:val="24"/>
              </w:rPr>
              <w:t xml:space="preserve"> the amended version</w:t>
            </w:r>
            <w:r>
              <w:rPr>
                <w:sz w:val="24"/>
                <w:szCs w:val="24"/>
              </w:rPr>
              <w:t xml:space="preserve"> of the </w:t>
            </w:r>
            <w:r w:rsidR="009F1307">
              <w:rPr>
                <w:i/>
                <w:sz w:val="24"/>
                <w:szCs w:val="24"/>
              </w:rPr>
              <w:t xml:space="preserve">Sentencing Guidance </w:t>
            </w:r>
            <w:r w:rsidR="009F1307">
              <w:rPr>
                <w:sz w:val="24"/>
                <w:szCs w:val="24"/>
              </w:rPr>
              <w:t xml:space="preserve">should come into effect as soon as practicable, and that it would be premature for there to be any public consultation exercise on the revisions at this stage as there was absolutely no ‘case law’ or feedback from disciplinary action against entities to </w:t>
            </w:r>
            <w:r w:rsidR="00DA66E5">
              <w:rPr>
                <w:sz w:val="24"/>
                <w:szCs w:val="24"/>
              </w:rPr>
              <w:t xml:space="preserve">guide or </w:t>
            </w:r>
            <w:r w:rsidR="009F1307">
              <w:rPr>
                <w:sz w:val="24"/>
                <w:szCs w:val="24"/>
              </w:rPr>
              <w:t xml:space="preserve">inform comment. </w:t>
            </w:r>
            <w:r w:rsidR="00DA66E5">
              <w:rPr>
                <w:sz w:val="24"/>
                <w:szCs w:val="24"/>
              </w:rPr>
              <w:t xml:space="preserve">Instead, it was agreed that a review of the </w:t>
            </w:r>
            <w:r w:rsidR="00DA66E5" w:rsidRPr="00DA66E5">
              <w:rPr>
                <w:i/>
                <w:sz w:val="24"/>
                <w:szCs w:val="24"/>
              </w:rPr>
              <w:t>Sentencing Guidance</w:t>
            </w:r>
            <w:r w:rsidR="00DA66E5">
              <w:rPr>
                <w:sz w:val="24"/>
                <w:szCs w:val="24"/>
              </w:rPr>
              <w:t xml:space="preserve"> in entirety be done in approximately 24 months (i.e. June </w:t>
            </w:r>
            <w:r w:rsidR="00DA66E5">
              <w:rPr>
                <w:sz w:val="24"/>
                <w:szCs w:val="24"/>
              </w:rPr>
              <w:lastRenderedPageBreak/>
              <w:t xml:space="preserve">2017), by which time some case law could be expected to have developed. </w:t>
            </w:r>
            <w:r w:rsidR="00924EFB" w:rsidRPr="005638CD">
              <w:rPr>
                <w:sz w:val="24"/>
                <w:szCs w:val="24"/>
              </w:rPr>
              <w:t xml:space="preserve">The SAB noted that the issue of direct access by members of the public was becoming increasingly significant.  </w:t>
            </w:r>
            <w:r w:rsidR="00DA66E5" w:rsidRPr="005638CD">
              <w:rPr>
                <w:sz w:val="24"/>
                <w:szCs w:val="24"/>
              </w:rPr>
              <w:t>In</w:t>
            </w:r>
            <w:r w:rsidR="00D5386D" w:rsidRPr="005638CD">
              <w:rPr>
                <w:sz w:val="24"/>
                <w:szCs w:val="24"/>
              </w:rPr>
              <w:t xml:space="preserve"> view of the important ‘public interest’ implications of this trend </w:t>
            </w:r>
            <w:r w:rsidR="00DA66E5" w:rsidRPr="005638CD">
              <w:rPr>
                <w:sz w:val="24"/>
                <w:szCs w:val="24"/>
              </w:rPr>
              <w:t xml:space="preserve">SAB also agreed that such a review should consider specific sentencing guidance for direct access </w:t>
            </w:r>
            <w:r w:rsidR="00D5386D" w:rsidRPr="005638CD">
              <w:rPr>
                <w:sz w:val="24"/>
                <w:szCs w:val="24"/>
              </w:rPr>
              <w:t>cases.</w:t>
            </w:r>
            <w:r w:rsidR="00DA66E5">
              <w:rPr>
                <w:sz w:val="24"/>
                <w:szCs w:val="24"/>
              </w:rPr>
              <w:tab/>
            </w:r>
            <w:r w:rsidR="00DA66E5">
              <w:rPr>
                <w:sz w:val="24"/>
                <w:szCs w:val="24"/>
              </w:rPr>
              <w:tab/>
            </w:r>
            <w:r w:rsidR="00DA66E5">
              <w:rPr>
                <w:sz w:val="24"/>
                <w:szCs w:val="24"/>
              </w:rPr>
              <w:tab/>
            </w:r>
            <w:r w:rsidR="00DA66E5">
              <w:rPr>
                <w:sz w:val="24"/>
                <w:szCs w:val="24"/>
              </w:rPr>
              <w:tab/>
            </w:r>
            <w:r w:rsidR="00DA66E5" w:rsidRPr="00DA66E5">
              <w:rPr>
                <w:b/>
                <w:color w:val="FF0000"/>
                <w:sz w:val="24"/>
                <w:szCs w:val="24"/>
              </w:rPr>
              <w:t>Action 3: AR</w:t>
            </w:r>
          </w:p>
          <w:p w:rsidR="0062714C" w:rsidRPr="00275345" w:rsidRDefault="0062714C" w:rsidP="005C34AD">
            <w:pPr>
              <w:rPr>
                <w:sz w:val="24"/>
                <w:szCs w:val="24"/>
              </w:rPr>
            </w:pPr>
          </w:p>
        </w:tc>
        <w:tc>
          <w:tcPr>
            <w:tcW w:w="1337" w:type="dxa"/>
          </w:tcPr>
          <w:p w:rsidR="005E2A67" w:rsidRDefault="005E2A67" w:rsidP="00295B25">
            <w:pPr>
              <w:rPr>
                <w:sz w:val="24"/>
                <w:szCs w:val="24"/>
              </w:rPr>
            </w:pPr>
          </w:p>
          <w:p w:rsidR="00B948CB" w:rsidRDefault="00B948CB" w:rsidP="00295B25">
            <w:pPr>
              <w:rPr>
                <w:sz w:val="24"/>
                <w:szCs w:val="24"/>
              </w:rPr>
            </w:pPr>
          </w:p>
          <w:p w:rsidR="00D008BB" w:rsidRDefault="000A7A8A" w:rsidP="00295B25">
            <w:pPr>
              <w:rPr>
                <w:sz w:val="24"/>
                <w:szCs w:val="24"/>
              </w:rPr>
            </w:pPr>
            <w:r>
              <w:rPr>
                <w:sz w:val="24"/>
                <w:szCs w:val="24"/>
              </w:rPr>
              <w:t>Annex C</w:t>
            </w:r>
          </w:p>
          <w:p w:rsidR="00E9292C" w:rsidRDefault="00E9292C" w:rsidP="00295B25">
            <w:pPr>
              <w:rPr>
                <w:sz w:val="24"/>
                <w:szCs w:val="24"/>
              </w:rPr>
            </w:pPr>
          </w:p>
          <w:p w:rsidR="00E9292C" w:rsidRDefault="00E9292C" w:rsidP="00295B25">
            <w:pPr>
              <w:rPr>
                <w:sz w:val="24"/>
                <w:szCs w:val="24"/>
              </w:rPr>
            </w:pPr>
          </w:p>
          <w:p w:rsidR="00D008BB" w:rsidRPr="005E2A67" w:rsidRDefault="00D008BB" w:rsidP="00295B25">
            <w:pPr>
              <w:rPr>
                <w:sz w:val="24"/>
                <w:szCs w:val="24"/>
              </w:rPr>
            </w:pPr>
          </w:p>
        </w:tc>
      </w:tr>
      <w:tr w:rsidR="005E2A67" w:rsidTr="00F77D29">
        <w:trPr>
          <w:trHeight w:val="567"/>
        </w:trPr>
        <w:tc>
          <w:tcPr>
            <w:tcW w:w="817" w:type="dxa"/>
          </w:tcPr>
          <w:p w:rsidR="005E2A67" w:rsidRDefault="005E2A67" w:rsidP="00295B25">
            <w:pPr>
              <w:rPr>
                <w:sz w:val="24"/>
                <w:szCs w:val="24"/>
              </w:rPr>
            </w:pPr>
            <w:r w:rsidRPr="005E2A67">
              <w:rPr>
                <w:sz w:val="24"/>
                <w:szCs w:val="24"/>
              </w:rPr>
              <w:lastRenderedPageBreak/>
              <w:t>6</w:t>
            </w:r>
          </w:p>
          <w:p w:rsidR="006178FC" w:rsidRDefault="006178FC" w:rsidP="00295B25">
            <w:pPr>
              <w:rPr>
                <w:sz w:val="24"/>
                <w:szCs w:val="24"/>
              </w:rPr>
            </w:pPr>
          </w:p>
          <w:p w:rsidR="003A3635" w:rsidRDefault="003A3635" w:rsidP="00295B25">
            <w:pPr>
              <w:rPr>
                <w:sz w:val="24"/>
                <w:szCs w:val="24"/>
              </w:rPr>
            </w:pPr>
          </w:p>
          <w:p w:rsidR="00F50C01" w:rsidRPr="005E2A67" w:rsidRDefault="00F50C01" w:rsidP="00295B25">
            <w:pPr>
              <w:rPr>
                <w:sz w:val="24"/>
                <w:szCs w:val="24"/>
              </w:rPr>
            </w:pPr>
          </w:p>
        </w:tc>
        <w:tc>
          <w:tcPr>
            <w:tcW w:w="7088" w:type="dxa"/>
          </w:tcPr>
          <w:p w:rsidR="005E2A67" w:rsidRDefault="00DA66E5" w:rsidP="00295B25">
            <w:pPr>
              <w:rPr>
                <w:b/>
                <w:sz w:val="24"/>
                <w:szCs w:val="24"/>
              </w:rPr>
            </w:pPr>
            <w:r>
              <w:rPr>
                <w:b/>
                <w:sz w:val="24"/>
                <w:szCs w:val="24"/>
              </w:rPr>
              <w:t>Recruitment and Training of New Panellists</w:t>
            </w:r>
          </w:p>
          <w:p w:rsidR="00930DB1" w:rsidRDefault="00930DB1" w:rsidP="00295B25">
            <w:pPr>
              <w:rPr>
                <w:b/>
                <w:sz w:val="24"/>
                <w:szCs w:val="24"/>
              </w:rPr>
            </w:pPr>
          </w:p>
          <w:p w:rsidR="006178FC" w:rsidRDefault="006178FC" w:rsidP="00DA66E5">
            <w:pPr>
              <w:rPr>
                <w:sz w:val="24"/>
                <w:szCs w:val="24"/>
              </w:rPr>
            </w:pPr>
            <w:r w:rsidRPr="006178FC">
              <w:rPr>
                <w:sz w:val="24"/>
                <w:szCs w:val="24"/>
              </w:rPr>
              <w:t xml:space="preserve">The SAB </w:t>
            </w:r>
            <w:r w:rsidR="00DA66E5">
              <w:rPr>
                <w:sz w:val="24"/>
                <w:szCs w:val="24"/>
              </w:rPr>
              <w:t xml:space="preserve">noted and </w:t>
            </w:r>
            <w:r w:rsidR="000E2161">
              <w:rPr>
                <w:sz w:val="24"/>
                <w:szCs w:val="24"/>
              </w:rPr>
              <w:t>endorsed</w:t>
            </w:r>
            <w:r w:rsidR="00DA66E5">
              <w:rPr>
                <w:sz w:val="24"/>
                <w:szCs w:val="24"/>
              </w:rPr>
              <w:t xml:space="preserve"> the Registrar</w:t>
            </w:r>
            <w:r w:rsidR="00F354E1">
              <w:rPr>
                <w:sz w:val="24"/>
                <w:szCs w:val="24"/>
              </w:rPr>
              <w:t>’</w:t>
            </w:r>
            <w:bookmarkStart w:id="0" w:name="_GoBack"/>
            <w:bookmarkEnd w:id="0"/>
            <w:r w:rsidR="00DA66E5">
              <w:rPr>
                <w:sz w:val="24"/>
                <w:szCs w:val="24"/>
              </w:rPr>
              <w:t>s recommendations to:</w:t>
            </w:r>
          </w:p>
          <w:p w:rsidR="00DA66E5" w:rsidRDefault="00DA66E5" w:rsidP="00DA66E5">
            <w:pPr>
              <w:rPr>
                <w:sz w:val="24"/>
                <w:szCs w:val="24"/>
              </w:rPr>
            </w:pPr>
          </w:p>
          <w:p w:rsidR="00DA66E5" w:rsidRDefault="00DA66E5" w:rsidP="00DA66E5">
            <w:pPr>
              <w:pStyle w:val="ListParagraph"/>
              <w:numPr>
                <w:ilvl w:val="0"/>
                <w:numId w:val="7"/>
              </w:numPr>
              <w:rPr>
                <w:sz w:val="24"/>
                <w:szCs w:val="24"/>
              </w:rPr>
            </w:pPr>
            <w:r>
              <w:rPr>
                <w:sz w:val="24"/>
                <w:szCs w:val="24"/>
              </w:rPr>
              <w:t>Launch</w:t>
            </w:r>
            <w:r w:rsidRPr="00DA66E5">
              <w:rPr>
                <w:sz w:val="24"/>
                <w:szCs w:val="24"/>
              </w:rPr>
              <w:t xml:space="preserve"> </w:t>
            </w:r>
            <w:r>
              <w:rPr>
                <w:sz w:val="24"/>
                <w:szCs w:val="24"/>
              </w:rPr>
              <w:t>a recruitment exercise for new Panellists in 2016, and;</w:t>
            </w:r>
          </w:p>
          <w:p w:rsidR="00DA66E5" w:rsidRDefault="00DA66E5" w:rsidP="00DA66E5">
            <w:pPr>
              <w:pStyle w:val="ListParagraph"/>
              <w:numPr>
                <w:ilvl w:val="0"/>
                <w:numId w:val="7"/>
              </w:numPr>
              <w:rPr>
                <w:sz w:val="24"/>
                <w:szCs w:val="24"/>
              </w:rPr>
            </w:pPr>
            <w:r>
              <w:rPr>
                <w:sz w:val="24"/>
                <w:szCs w:val="24"/>
              </w:rPr>
              <w:t xml:space="preserve">Hold joint induction/refresher training for Panellists in </w:t>
            </w:r>
            <w:r w:rsidR="005638CD">
              <w:rPr>
                <w:sz w:val="24"/>
                <w:szCs w:val="24"/>
              </w:rPr>
              <w:t>autumn</w:t>
            </w:r>
            <w:r w:rsidR="009275C7">
              <w:rPr>
                <w:sz w:val="24"/>
                <w:szCs w:val="24"/>
              </w:rPr>
              <w:t xml:space="preserve"> 2016.</w:t>
            </w:r>
          </w:p>
          <w:p w:rsidR="009275C7" w:rsidRDefault="009275C7" w:rsidP="009275C7">
            <w:pPr>
              <w:rPr>
                <w:sz w:val="24"/>
                <w:szCs w:val="24"/>
              </w:rPr>
            </w:pPr>
          </w:p>
          <w:p w:rsidR="009275C7" w:rsidRPr="009275C7" w:rsidRDefault="009275C7" w:rsidP="009275C7">
            <w:pPr>
              <w:rPr>
                <w:sz w:val="24"/>
                <w:szCs w:val="24"/>
              </w:rPr>
            </w:pPr>
            <w:r>
              <w:rPr>
                <w:sz w:val="24"/>
                <w:szCs w:val="24"/>
              </w:rPr>
              <w:t>The SAB agreed that the training must be mandatory for all Panellists. It also stressed that when communications regarding the above were sent to existing Panellists it must be done sensitively, particularly to those whose term of office on the Panel was by consequence not likely to be as long as they might have hoped.</w:t>
            </w:r>
          </w:p>
          <w:p w:rsidR="003A3635" w:rsidRPr="003A3635" w:rsidRDefault="003A3635" w:rsidP="003A3635">
            <w:pPr>
              <w:rPr>
                <w:sz w:val="24"/>
                <w:szCs w:val="24"/>
              </w:rPr>
            </w:pPr>
          </w:p>
        </w:tc>
        <w:tc>
          <w:tcPr>
            <w:tcW w:w="1337" w:type="dxa"/>
          </w:tcPr>
          <w:p w:rsidR="005E2A67" w:rsidRDefault="005E2A67" w:rsidP="00295B25">
            <w:pPr>
              <w:rPr>
                <w:sz w:val="24"/>
                <w:szCs w:val="24"/>
              </w:rPr>
            </w:pPr>
          </w:p>
          <w:p w:rsidR="00EA7374" w:rsidRDefault="00EA7374" w:rsidP="00295B25">
            <w:pPr>
              <w:rPr>
                <w:sz w:val="24"/>
                <w:szCs w:val="24"/>
              </w:rPr>
            </w:pPr>
          </w:p>
          <w:p w:rsidR="00EA7374" w:rsidRPr="005E2A67" w:rsidRDefault="00DA66E5" w:rsidP="00295B25">
            <w:pPr>
              <w:rPr>
                <w:sz w:val="24"/>
                <w:szCs w:val="24"/>
              </w:rPr>
            </w:pPr>
            <w:r>
              <w:rPr>
                <w:sz w:val="24"/>
                <w:szCs w:val="24"/>
              </w:rPr>
              <w:t xml:space="preserve">Annexes Di &amp; </w:t>
            </w:r>
            <w:proofErr w:type="spellStart"/>
            <w:r>
              <w:rPr>
                <w:sz w:val="24"/>
                <w:szCs w:val="24"/>
              </w:rPr>
              <w:t>Dii</w:t>
            </w:r>
            <w:proofErr w:type="spellEnd"/>
          </w:p>
        </w:tc>
      </w:tr>
      <w:tr w:rsidR="005E2A67" w:rsidTr="00F77D29">
        <w:trPr>
          <w:trHeight w:val="567"/>
        </w:trPr>
        <w:tc>
          <w:tcPr>
            <w:tcW w:w="817" w:type="dxa"/>
          </w:tcPr>
          <w:p w:rsidR="005E2A67" w:rsidRDefault="005E2A67" w:rsidP="00295B25">
            <w:pPr>
              <w:rPr>
                <w:sz w:val="24"/>
                <w:szCs w:val="24"/>
              </w:rPr>
            </w:pPr>
            <w:r w:rsidRPr="005E2A67">
              <w:rPr>
                <w:sz w:val="24"/>
                <w:szCs w:val="24"/>
              </w:rPr>
              <w:t>7</w:t>
            </w:r>
          </w:p>
          <w:p w:rsidR="00D802E1" w:rsidRDefault="00D802E1" w:rsidP="00295B25">
            <w:pPr>
              <w:rPr>
                <w:sz w:val="24"/>
                <w:szCs w:val="24"/>
              </w:rPr>
            </w:pPr>
          </w:p>
          <w:p w:rsidR="00C517F6" w:rsidRDefault="00C517F6" w:rsidP="00295B25">
            <w:pPr>
              <w:rPr>
                <w:sz w:val="24"/>
                <w:szCs w:val="24"/>
              </w:rPr>
            </w:pPr>
            <w:r>
              <w:rPr>
                <w:sz w:val="24"/>
                <w:szCs w:val="24"/>
              </w:rPr>
              <w:t>7.1</w:t>
            </w:r>
          </w:p>
          <w:p w:rsidR="00C517F6" w:rsidRDefault="00C517F6" w:rsidP="00295B25">
            <w:pPr>
              <w:rPr>
                <w:sz w:val="24"/>
                <w:szCs w:val="24"/>
              </w:rPr>
            </w:pPr>
          </w:p>
          <w:p w:rsidR="00C517F6" w:rsidRDefault="00C517F6" w:rsidP="00295B25">
            <w:pPr>
              <w:rPr>
                <w:sz w:val="24"/>
                <w:szCs w:val="24"/>
              </w:rPr>
            </w:pPr>
          </w:p>
          <w:p w:rsidR="00C517F6" w:rsidRDefault="00C517F6" w:rsidP="00295B25">
            <w:pPr>
              <w:rPr>
                <w:sz w:val="24"/>
                <w:szCs w:val="24"/>
              </w:rPr>
            </w:pPr>
          </w:p>
          <w:p w:rsidR="00C517F6" w:rsidRDefault="00C517F6" w:rsidP="00295B25">
            <w:pPr>
              <w:rPr>
                <w:sz w:val="24"/>
                <w:szCs w:val="24"/>
              </w:rPr>
            </w:pPr>
          </w:p>
          <w:p w:rsidR="00C517F6" w:rsidRDefault="00C517F6" w:rsidP="00295B25">
            <w:pPr>
              <w:rPr>
                <w:sz w:val="24"/>
                <w:szCs w:val="24"/>
              </w:rPr>
            </w:pPr>
          </w:p>
          <w:p w:rsidR="00C517F6" w:rsidRDefault="00C517F6" w:rsidP="00295B25">
            <w:pPr>
              <w:rPr>
                <w:sz w:val="24"/>
                <w:szCs w:val="24"/>
              </w:rPr>
            </w:pPr>
          </w:p>
          <w:p w:rsidR="00C517F6" w:rsidRDefault="00C517F6" w:rsidP="00295B25">
            <w:pPr>
              <w:rPr>
                <w:sz w:val="24"/>
                <w:szCs w:val="24"/>
              </w:rPr>
            </w:pPr>
            <w:r>
              <w:rPr>
                <w:sz w:val="24"/>
                <w:szCs w:val="24"/>
              </w:rPr>
              <w:t>7.2</w:t>
            </w:r>
          </w:p>
          <w:p w:rsidR="00C627C0" w:rsidRDefault="00C627C0" w:rsidP="00295B25">
            <w:pPr>
              <w:rPr>
                <w:sz w:val="24"/>
                <w:szCs w:val="24"/>
              </w:rPr>
            </w:pPr>
          </w:p>
          <w:p w:rsidR="00C627C0" w:rsidRPr="005E2A67" w:rsidRDefault="00C627C0" w:rsidP="00C517F6">
            <w:pPr>
              <w:rPr>
                <w:sz w:val="24"/>
                <w:szCs w:val="24"/>
              </w:rPr>
            </w:pPr>
          </w:p>
        </w:tc>
        <w:tc>
          <w:tcPr>
            <w:tcW w:w="7088" w:type="dxa"/>
          </w:tcPr>
          <w:p w:rsidR="005E2A67" w:rsidRDefault="00BC70D4" w:rsidP="00295B25">
            <w:pPr>
              <w:rPr>
                <w:b/>
                <w:sz w:val="24"/>
                <w:szCs w:val="24"/>
              </w:rPr>
            </w:pPr>
            <w:r>
              <w:rPr>
                <w:b/>
                <w:sz w:val="24"/>
                <w:szCs w:val="24"/>
              </w:rPr>
              <w:t>Key Performance Indicators</w:t>
            </w:r>
          </w:p>
          <w:p w:rsidR="00FA0A60" w:rsidRDefault="00FA0A60" w:rsidP="00295B25">
            <w:pPr>
              <w:rPr>
                <w:b/>
                <w:sz w:val="24"/>
                <w:szCs w:val="24"/>
              </w:rPr>
            </w:pPr>
          </w:p>
          <w:p w:rsidR="00C517F6" w:rsidRPr="00C517F6" w:rsidRDefault="00C517F6" w:rsidP="00295B25">
            <w:pPr>
              <w:rPr>
                <w:sz w:val="24"/>
                <w:szCs w:val="24"/>
              </w:rPr>
            </w:pPr>
            <w:r>
              <w:rPr>
                <w:sz w:val="24"/>
                <w:szCs w:val="24"/>
              </w:rPr>
              <w:t>The SAB noted that Chandra Connaghan, previously the Contract Management Officer liaising</w:t>
            </w:r>
            <w:r w:rsidR="000E2161">
              <w:rPr>
                <w:sz w:val="24"/>
                <w:szCs w:val="24"/>
              </w:rPr>
              <w:t xml:space="preserve"> with</w:t>
            </w:r>
            <w:r>
              <w:rPr>
                <w:sz w:val="24"/>
                <w:szCs w:val="24"/>
              </w:rPr>
              <w:t xml:space="preserve"> BTAS, had completed her period of employment at the BSB. Her replacement at the BSB, Natasha Williams, introduced herself and her role, and clarified that either herself or another Business Support Officer would attend all future meetings of the SAB. The Board welcomed her to her first meeting.   </w:t>
            </w:r>
          </w:p>
          <w:p w:rsidR="00C627C0" w:rsidRDefault="00CE6029" w:rsidP="00CE6029">
            <w:pPr>
              <w:rPr>
                <w:sz w:val="24"/>
                <w:szCs w:val="24"/>
              </w:rPr>
            </w:pPr>
            <w:r w:rsidRPr="00CE6029">
              <w:rPr>
                <w:sz w:val="24"/>
                <w:szCs w:val="24"/>
              </w:rPr>
              <w:t xml:space="preserve">   </w:t>
            </w:r>
            <w:r w:rsidR="00C627C0" w:rsidRPr="00CE6029">
              <w:rPr>
                <w:sz w:val="24"/>
                <w:szCs w:val="24"/>
              </w:rPr>
              <w:t xml:space="preserve">    </w:t>
            </w:r>
          </w:p>
          <w:p w:rsidR="00617A17" w:rsidRDefault="00C517F6" w:rsidP="00CE6029">
            <w:pPr>
              <w:rPr>
                <w:sz w:val="24"/>
                <w:szCs w:val="24"/>
              </w:rPr>
            </w:pPr>
            <w:r>
              <w:rPr>
                <w:sz w:val="24"/>
                <w:szCs w:val="24"/>
              </w:rPr>
              <w:t xml:space="preserve">The SAB welcomed the latest KPI data and the </w:t>
            </w:r>
            <w:r w:rsidR="00617A17">
              <w:rPr>
                <w:sz w:val="24"/>
                <w:szCs w:val="24"/>
              </w:rPr>
              <w:t xml:space="preserve">accompanying Executive Summary, and agreed that </w:t>
            </w:r>
            <w:r w:rsidR="00AF1788">
              <w:rPr>
                <w:sz w:val="24"/>
                <w:szCs w:val="24"/>
              </w:rPr>
              <w:t xml:space="preserve">this provided reassuring evidence that </w:t>
            </w:r>
            <w:r w:rsidR="00617A17">
              <w:rPr>
                <w:sz w:val="24"/>
                <w:szCs w:val="24"/>
              </w:rPr>
              <w:t xml:space="preserve">BTAS continued to perform satisfactorily in all areas. For future reports, it was agreed to introduce a new ‘performance against benchmark’ KPI, which will set out the percentage of cases that were completed within six months of their referral to BTAS, broken down </w:t>
            </w:r>
            <w:r w:rsidR="00AF1788">
              <w:rPr>
                <w:sz w:val="24"/>
                <w:szCs w:val="24"/>
              </w:rPr>
              <w:t xml:space="preserve">into quarterly periods of referral. </w:t>
            </w:r>
            <w:r w:rsidR="00617A17" w:rsidRPr="00DA66E5">
              <w:rPr>
                <w:b/>
                <w:color w:val="FF0000"/>
                <w:sz w:val="24"/>
                <w:szCs w:val="24"/>
              </w:rPr>
              <w:t xml:space="preserve">Action </w:t>
            </w:r>
            <w:r w:rsidR="00617A17">
              <w:rPr>
                <w:b/>
                <w:color w:val="FF0000"/>
                <w:sz w:val="24"/>
                <w:szCs w:val="24"/>
              </w:rPr>
              <w:t>4</w:t>
            </w:r>
            <w:r w:rsidR="00617A17" w:rsidRPr="00DA66E5">
              <w:rPr>
                <w:b/>
                <w:color w:val="FF0000"/>
                <w:sz w:val="24"/>
                <w:szCs w:val="24"/>
              </w:rPr>
              <w:t>: AR</w:t>
            </w:r>
          </w:p>
          <w:p w:rsidR="00617A17" w:rsidRPr="00CE6029" w:rsidRDefault="00617A17" w:rsidP="00CE6029">
            <w:pPr>
              <w:rPr>
                <w:sz w:val="24"/>
                <w:szCs w:val="24"/>
              </w:rPr>
            </w:pPr>
          </w:p>
        </w:tc>
        <w:tc>
          <w:tcPr>
            <w:tcW w:w="1337" w:type="dxa"/>
          </w:tcPr>
          <w:p w:rsidR="005E2A67" w:rsidRDefault="005E2A67" w:rsidP="00295B25">
            <w:pPr>
              <w:rPr>
                <w:sz w:val="24"/>
                <w:szCs w:val="24"/>
              </w:rPr>
            </w:pPr>
          </w:p>
          <w:p w:rsidR="00EA7374" w:rsidRDefault="00EA7374" w:rsidP="00295B25">
            <w:pPr>
              <w:rPr>
                <w:sz w:val="24"/>
                <w:szCs w:val="24"/>
              </w:rPr>
            </w:pPr>
          </w:p>
          <w:p w:rsidR="00C517F6" w:rsidRDefault="00C517F6" w:rsidP="009275C7">
            <w:pPr>
              <w:rPr>
                <w:sz w:val="24"/>
                <w:szCs w:val="24"/>
              </w:rPr>
            </w:pPr>
          </w:p>
          <w:p w:rsidR="00C517F6" w:rsidRDefault="00C517F6" w:rsidP="009275C7">
            <w:pPr>
              <w:rPr>
                <w:sz w:val="24"/>
                <w:szCs w:val="24"/>
              </w:rPr>
            </w:pPr>
          </w:p>
          <w:p w:rsidR="00C517F6" w:rsidRDefault="00C517F6" w:rsidP="009275C7">
            <w:pPr>
              <w:rPr>
                <w:sz w:val="24"/>
                <w:szCs w:val="24"/>
              </w:rPr>
            </w:pPr>
          </w:p>
          <w:p w:rsidR="00C517F6" w:rsidRDefault="00C517F6" w:rsidP="009275C7">
            <w:pPr>
              <w:rPr>
                <w:sz w:val="24"/>
                <w:szCs w:val="24"/>
              </w:rPr>
            </w:pPr>
          </w:p>
          <w:p w:rsidR="00C517F6" w:rsidRDefault="00C517F6" w:rsidP="009275C7">
            <w:pPr>
              <w:rPr>
                <w:sz w:val="24"/>
                <w:szCs w:val="24"/>
              </w:rPr>
            </w:pPr>
          </w:p>
          <w:p w:rsidR="00C517F6" w:rsidRDefault="00C517F6" w:rsidP="009275C7">
            <w:pPr>
              <w:rPr>
                <w:sz w:val="24"/>
                <w:szCs w:val="24"/>
              </w:rPr>
            </w:pPr>
          </w:p>
          <w:p w:rsidR="00C517F6" w:rsidRDefault="00C517F6" w:rsidP="009275C7">
            <w:pPr>
              <w:rPr>
                <w:sz w:val="24"/>
                <w:szCs w:val="24"/>
              </w:rPr>
            </w:pPr>
          </w:p>
          <w:p w:rsidR="00EA7374" w:rsidRPr="005E2A67" w:rsidRDefault="00253B33" w:rsidP="009275C7">
            <w:pPr>
              <w:rPr>
                <w:sz w:val="24"/>
                <w:szCs w:val="24"/>
              </w:rPr>
            </w:pPr>
            <w:r>
              <w:rPr>
                <w:sz w:val="24"/>
                <w:szCs w:val="24"/>
              </w:rPr>
              <w:t>Annex</w:t>
            </w:r>
            <w:r w:rsidR="009275C7">
              <w:rPr>
                <w:sz w:val="24"/>
                <w:szCs w:val="24"/>
              </w:rPr>
              <w:t xml:space="preserve">es </w:t>
            </w:r>
            <w:proofErr w:type="spellStart"/>
            <w:r w:rsidR="009275C7">
              <w:rPr>
                <w:sz w:val="24"/>
                <w:szCs w:val="24"/>
              </w:rPr>
              <w:t>Ei</w:t>
            </w:r>
            <w:proofErr w:type="spellEnd"/>
            <w:r w:rsidR="009275C7">
              <w:rPr>
                <w:sz w:val="24"/>
                <w:szCs w:val="24"/>
              </w:rPr>
              <w:t xml:space="preserve"> and </w:t>
            </w:r>
            <w:proofErr w:type="spellStart"/>
            <w:r w:rsidR="009275C7">
              <w:rPr>
                <w:sz w:val="24"/>
                <w:szCs w:val="24"/>
              </w:rPr>
              <w:t>Eii</w:t>
            </w:r>
            <w:proofErr w:type="spellEnd"/>
          </w:p>
        </w:tc>
      </w:tr>
      <w:tr w:rsidR="005E2A67" w:rsidTr="00F77D29">
        <w:trPr>
          <w:trHeight w:val="567"/>
        </w:trPr>
        <w:tc>
          <w:tcPr>
            <w:tcW w:w="817" w:type="dxa"/>
          </w:tcPr>
          <w:p w:rsidR="005E2A67" w:rsidRDefault="005E2A67" w:rsidP="00295B25">
            <w:pPr>
              <w:rPr>
                <w:sz w:val="24"/>
                <w:szCs w:val="24"/>
              </w:rPr>
            </w:pPr>
            <w:r w:rsidRPr="005E2A67">
              <w:rPr>
                <w:sz w:val="24"/>
                <w:szCs w:val="24"/>
              </w:rPr>
              <w:t>8</w:t>
            </w:r>
          </w:p>
          <w:p w:rsidR="00FA0A60" w:rsidRDefault="00FA0A60" w:rsidP="00295B25">
            <w:pPr>
              <w:rPr>
                <w:sz w:val="24"/>
                <w:szCs w:val="24"/>
              </w:rPr>
            </w:pPr>
          </w:p>
          <w:p w:rsidR="00FA0A60" w:rsidRDefault="00FA0A60"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F6446E" w:rsidRDefault="00F6446E" w:rsidP="003115D2">
            <w:pPr>
              <w:rPr>
                <w:sz w:val="24"/>
                <w:szCs w:val="24"/>
              </w:rPr>
            </w:pPr>
          </w:p>
          <w:p w:rsidR="00880284" w:rsidRDefault="00880284" w:rsidP="003115D2">
            <w:pPr>
              <w:rPr>
                <w:sz w:val="24"/>
                <w:szCs w:val="24"/>
              </w:rPr>
            </w:pPr>
          </w:p>
          <w:p w:rsidR="00880284" w:rsidRDefault="00880284" w:rsidP="003115D2">
            <w:pPr>
              <w:rPr>
                <w:sz w:val="24"/>
                <w:szCs w:val="24"/>
              </w:rPr>
            </w:pPr>
          </w:p>
          <w:p w:rsidR="00F6446E" w:rsidRPr="005E2A67" w:rsidRDefault="00F6446E" w:rsidP="003115D2">
            <w:pPr>
              <w:rPr>
                <w:sz w:val="24"/>
                <w:szCs w:val="24"/>
              </w:rPr>
            </w:pPr>
          </w:p>
        </w:tc>
        <w:tc>
          <w:tcPr>
            <w:tcW w:w="7088" w:type="dxa"/>
          </w:tcPr>
          <w:p w:rsidR="005E2A67" w:rsidRDefault="00AF1788" w:rsidP="00295B25">
            <w:pPr>
              <w:rPr>
                <w:b/>
                <w:sz w:val="24"/>
                <w:szCs w:val="24"/>
              </w:rPr>
            </w:pPr>
            <w:r>
              <w:rPr>
                <w:b/>
                <w:sz w:val="24"/>
                <w:szCs w:val="24"/>
              </w:rPr>
              <w:lastRenderedPageBreak/>
              <w:t>Case Management Database</w:t>
            </w:r>
          </w:p>
          <w:p w:rsidR="00FA0A60" w:rsidRDefault="00FA0A60" w:rsidP="00295B25">
            <w:pPr>
              <w:rPr>
                <w:b/>
                <w:sz w:val="24"/>
                <w:szCs w:val="24"/>
              </w:rPr>
            </w:pPr>
          </w:p>
          <w:p w:rsidR="00205171" w:rsidRDefault="00880284" w:rsidP="008D17D5">
            <w:pPr>
              <w:rPr>
                <w:sz w:val="24"/>
                <w:szCs w:val="24"/>
              </w:rPr>
            </w:pPr>
            <w:r>
              <w:rPr>
                <w:sz w:val="24"/>
                <w:szCs w:val="24"/>
              </w:rPr>
              <w:t xml:space="preserve">The SAB </w:t>
            </w:r>
            <w:r w:rsidR="00AF1788">
              <w:rPr>
                <w:sz w:val="24"/>
                <w:szCs w:val="24"/>
              </w:rPr>
              <w:t xml:space="preserve">considered and endorsed a recommendation from the Registrar that it was not necessary or appropriate for BTAS to purchase case management software at the present time. This recommendation was </w:t>
            </w:r>
            <w:r w:rsidR="00205171">
              <w:rPr>
                <w:sz w:val="24"/>
                <w:szCs w:val="24"/>
              </w:rPr>
              <w:t xml:space="preserve">made </w:t>
            </w:r>
            <w:r w:rsidR="00AF1788">
              <w:rPr>
                <w:sz w:val="24"/>
                <w:szCs w:val="24"/>
              </w:rPr>
              <w:t xml:space="preserve">on the grounds that the excel-based system that is in </w:t>
            </w:r>
            <w:r w:rsidR="00205171">
              <w:rPr>
                <w:sz w:val="24"/>
                <w:szCs w:val="24"/>
              </w:rPr>
              <w:t>use</w:t>
            </w:r>
            <w:r w:rsidR="00AF1788">
              <w:rPr>
                <w:sz w:val="24"/>
                <w:szCs w:val="24"/>
              </w:rPr>
              <w:t xml:space="preserve"> (</w:t>
            </w:r>
            <w:r w:rsidR="00205171">
              <w:rPr>
                <w:sz w:val="24"/>
                <w:szCs w:val="24"/>
              </w:rPr>
              <w:t xml:space="preserve">and </w:t>
            </w:r>
            <w:r w:rsidR="00AF1788">
              <w:rPr>
                <w:sz w:val="24"/>
                <w:szCs w:val="24"/>
              </w:rPr>
              <w:t xml:space="preserve">that was </w:t>
            </w:r>
            <w:r w:rsidR="00205171">
              <w:rPr>
                <w:sz w:val="24"/>
                <w:szCs w:val="24"/>
              </w:rPr>
              <w:t>originally introduced</w:t>
            </w:r>
            <w:r w:rsidR="00AF1788">
              <w:rPr>
                <w:sz w:val="24"/>
                <w:szCs w:val="24"/>
              </w:rPr>
              <w:t xml:space="preserve"> as an interim measure) </w:t>
            </w:r>
            <w:r w:rsidR="00205171">
              <w:rPr>
                <w:sz w:val="24"/>
                <w:szCs w:val="24"/>
              </w:rPr>
              <w:t xml:space="preserve">has been proven to be wholly capable of meeting BTAS’s operational and reporting needs. There is therefore no justification for the cost and disruption associated with the purchase and </w:t>
            </w:r>
            <w:r w:rsidR="00205171">
              <w:rPr>
                <w:sz w:val="24"/>
                <w:szCs w:val="24"/>
              </w:rPr>
              <w:lastRenderedPageBreak/>
              <w:t>implementation of new software.</w:t>
            </w:r>
          </w:p>
          <w:p w:rsidR="00205171" w:rsidRDefault="00205171" w:rsidP="008D17D5">
            <w:pPr>
              <w:rPr>
                <w:sz w:val="24"/>
                <w:szCs w:val="24"/>
              </w:rPr>
            </w:pPr>
          </w:p>
          <w:p w:rsidR="00880284" w:rsidRPr="00880284" w:rsidRDefault="00205171" w:rsidP="008D17D5">
            <w:pPr>
              <w:rPr>
                <w:sz w:val="24"/>
                <w:szCs w:val="24"/>
              </w:rPr>
            </w:pPr>
            <w:r>
              <w:rPr>
                <w:sz w:val="24"/>
                <w:szCs w:val="24"/>
              </w:rPr>
              <w:t xml:space="preserve">The Director General of the BSB also endorsed the recommendation, and agreed that as a consequence the relevant recommendation in the Browne Report (to purchase such software) will be updated to the status of ‘completed’. This was subject to BTAS continuing to maintain its current processes and systems. </w:t>
            </w:r>
            <w:r w:rsidRPr="00205171">
              <w:rPr>
                <w:b/>
                <w:color w:val="FF0000"/>
                <w:sz w:val="24"/>
                <w:szCs w:val="24"/>
              </w:rPr>
              <w:t>Action</w:t>
            </w:r>
            <w:r>
              <w:rPr>
                <w:b/>
                <w:color w:val="FF0000"/>
                <w:sz w:val="24"/>
                <w:szCs w:val="24"/>
              </w:rPr>
              <w:t xml:space="preserve"> 5</w:t>
            </w:r>
            <w:r w:rsidRPr="00205171">
              <w:rPr>
                <w:b/>
                <w:color w:val="FF0000"/>
                <w:sz w:val="24"/>
                <w:szCs w:val="24"/>
              </w:rPr>
              <w:t>: NW</w:t>
            </w:r>
            <w:r w:rsidRPr="00205171">
              <w:rPr>
                <w:color w:val="FF0000"/>
                <w:sz w:val="24"/>
                <w:szCs w:val="24"/>
              </w:rPr>
              <w:t xml:space="preserve"> </w:t>
            </w:r>
            <w:r w:rsidR="00AF1788" w:rsidRPr="00205171">
              <w:rPr>
                <w:color w:val="FF0000"/>
                <w:sz w:val="24"/>
                <w:szCs w:val="24"/>
              </w:rPr>
              <w:t xml:space="preserve">  </w:t>
            </w:r>
          </w:p>
          <w:p w:rsidR="00F6446E" w:rsidRPr="00F6446E" w:rsidRDefault="00F6446E" w:rsidP="00AA58A1">
            <w:pPr>
              <w:rPr>
                <w:b/>
                <w:sz w:val="24"/>
                <w:szCs w:val="24"/>
              </w:rPr>
            </w:pPr>
          </w:p>
        </w:tc>
        <w:tc>
          <w:tcPr>
            <w:tcW w:w="1337" w:type="dxa"/>
          </w:tcPr>
          <w:p w:rsidR="005E2A67" w:rsidRDefault="005E2A67" w:rsidP="00295B25">
            <w:pPr>
              <w:rPr>
                <w:sz w:val="24"/>
                <w:szCs w:val="24"/>
              </w:rPr>
            </w:pPr>
          </w:p>
          <w:p w:rsidR="00DD3DC9" w:rsidRDefault="00DD3DC9" w:rsidP="00295B25">
            <w:pPr>
              <w:rPr>
                <w:sz w:val="24"/>
                <w:szCs w:val="24"/>
              </w:rPr>
            </w:pPr>
          </w:p>
          <w:p w:rsidR="00DD3DC9" w:rsidRDefault="00DD3DC9" w:rsidP="00295B25">
            <w:pPr>
              <w:rPr>
                <w:sz w:val="24"/>
                <w:szCs w:val="24"/>
              </w:rPr>
            </w:pPr>
            <w:r>
              <w:rPr>
                <w:sz w:val="24"/>
                <w:szCs w:val="24"/>
              </w:rPr>
              <w:t>Annex</w:t>
            </w:r>
            <w:r w:rsidR="00AF1788">
              <w:rPr>
                <w:sz w:val="24"/>
                <w:szCs w:val="24"/>
              </w:rPr>
              <w:t xml:space="preserve"> F</w:t>
            </w:r>
          </w:p>
          <w:p w:rsidR="00DD3DC9" w:rsidRDefault="00DD3DC9" w:rsidP="00295B25">
            <w:pPr>
              <w:rPr>
                <w:sz w:val="24"/>
                <w:szCs w:val="24"/>
              </w:rPr>
            </w:pPr>
          </w:p>
          <w:p w:rsidR="00866B25" w:rsidRDefault="00866B25" w:rsidP="00295B25">
            <w:pPr>
              <w:rPr>
                <w:sz w:val="24"/>
                <w:szCs w:val="24"/>
              </w:rPr>
            </w:pPr>
          </w:p>
          <w:p w:rsidR="00DD3DC9" w:rsidRDefault="00DD3DC9" w:rsidP="00295B25">
            <w:pPr>
              <w:rPr>
                <w:sz w:val="24"/>
                <w:szCs w:val="24"/>
              </w:rPr>
            </w:pPr>
          </w:p>
          <w:p w:rsidR="00AA58A1" w:rsidRDefault="00AA58A1" w:rsidP="00295B25">
            <w:pPr>
              <w:rPr>
                <w:sz w:val="24"/>
                <w:szCs w:val="24"/>
              </w:rPr>
            </w:pPr>
          </w:p>
          <w:p w:rsidR="00AA58A1" w:rsidRDefault="00AA58A1" w:rsidP="00295B25">
            <w:pPr>
              <w:rPr>
                <w:sz w:val="24"/>
                <w:szCs w:val="24"/>
              </w:rPr>
            </w:pPr>
          </w:p>
          <w:p w:rsidR="00AA58A1" w:rsidRDefault="00AA58A1" w:rsidP="00295B25">
            <w:pPr>
              <w:rPr>
                <w:sz w:val="24"/>
                <w:szCs w:val="24"/>
              </w:rPr>
            </w:pPr>
          </w:p>
          <w:p w:rsidR="00AA58A1" w:rsidRDefault="00AA58A1" w:rsidP="00295B25">
            <w:pPr>
              <w:rPr>
                <w:sz w:val="24"/>
                <w:szCs w:val="24"/>
              </w:rPr>
            </w:pPr>
          </w:p>
          <w:p w:rsidR="00AA58A1" w:rsidRDefault="00AA58A1" w:rsidP="00295B25">
            <w:pPr>
              <w:rPr>
                <w:sz w:val="24"/>
                <w:szCs w:val="24"/>
              </w:rPr>
            </w:pPr>
          </w:p>
          <w:p w:rsidR="00AA58A1" w:rsidRPr="005E2A67" w:rsidRDefault="00AA58A1" w:rsidP="00295B25">
            <w:pPr>
              <w:rPr>
                <w:sz w:val="24"/>
                <w:szCs w:val="24"/>
              </w:rPr>
            </w:pPr>
          </w:p>
        </w:tc>
      </w:tr>
      <w:tr w:rsidR="003115D2" w:rsidTr="00F77D29">
        <w:trPr>
          <w:trHeight w:val="567"/>
        </w:trPr>
        <w:tc>
          <w:tcPr>
            <w:tcW w:w="817" w:type="dxa"/>
          </w:tcPr>
          <w:p w:rsidR="003115D2" w:rsidRDefault="003115D2" w:rsidP="00295B25">
            <w:pPr>
              <w:rPr>
                <w:sz w:val="24"/>
                <w:szCs w:val="24"/>
              </w:rPr>
            </w:pPr>
            <w:r>
              <w:rPr>
                <w:sz w:val="24"/>
                <w:szCs w:val="24"/>
              </w:rPr>
              <w:lastRenderedPageBreak/>
              <w:t>9</w:t>
            </w:r>
          </w:p>
          <w:p w:rsidR="00130EEC" w:rsidRDefault="00130EEC" w:rsidP="00295B25">
            <w:pPr>
              <w:rPr>
                <w:sz w:val="24"/>
                <w:szCs w:val="24"/>
              </w:rPr>
            </w:pPr>
          </w:p>
          <w:p w:rsidR="00130EEC" w:rsidRDefault="00130EEC" w:rsidP="00295B25">
            <w:pPr>
              <w:rPr>
                <w:sz w:val="24"/>
                <w:szCs w:val="24"/>
              </w:rPr>
            </w:pPr>
            <w:r>
              <w:rPr>
                <w:sz w:val="24"/>
                <w:szCs w:val="24"/>
              </w:rPr>
              <w:t>9.1</w:t>
            </w:r>
          </w:p>
          <w:p w:rsidR="00130EEC" w:rsidRDefault="00130EEC" w:rsidP="00295B25">
            <w:pPr>
              <w:rPr>
                <w:sz w:val="24"/>
                <w:szCs w:val="24"/>
              </w:rPr>
            </w:pPr>
          </w:p>
          <w:p w:rsidR="00130EEC" w:rsidRDefault="00130EEC" w:rsidP="00295B25">
            <w:pPr>
              <w:rPr>
                <w:sz w:val="24"/>
                <w:szCs w:val="24"/>
              </w:rPr>
            </w:pPr>
          </w:p>
          <w:p w:rsidR="00130EEC" w:rsidRDefault="00130EEC" w:rsidP="00295B25">
            <w:pPr>
              <w:rPr>
                <w:sz w:val="24"/>
                <w:szCs w:val="24"/>
              </w:rPr>
            </w:pPr>
          </w:p>
          <w:p w:rsidR="00130EEC" w:rsidRDefault="00130EEC" w:rsidP="00295B25">
            <w:pPr>
              <w:rPr>
                <w:sz w:val="24"/>
                <w:szCs w:val="24"/>
              </w:rPr>
            </w:pPr>
          </w:p>
          <w:p w:rsidR="00130EEC" w:rsidRDefault="00130EEC" w:rsidP="00295B25">
            <w:pPr>
              <w:rPr>
                <w:sz w:val="24"/>
                <w:szCs w:val="24"/>
              </w:rPr>
            </w:pPr>
          </w:p>
          <w:p w:rsidR="00130EEC" w:rsidRDefault="00130EEC" w:rsidP="00295B25">
            <w:pPr>
              <w:rPr>
                <w:sz w:val="24"/>
                <w:szCs w:val="24"/>
              </w:rPr>
            </w:pPr>
          </w:p>
          <w:p w:rsidR="00130EEC" w:rsidRDefault="00130EEC" w:rsidP="00295B25">
            <w:pPr>
              <w:rPr>
                <w:sz w:val="24"/>
                <w:szCs w:val="24"/>
              </w:rPr>
            </w:pPr>
          </w:p>
          <w:p w:rsidR="00DC0974" w:rsidRDefault="00130EEC" w:rsidP="00295B25">
            <w:pPr>
              <w:rPr>
                <w:sz w:val="24"/>
                <w:szCs w:val="24"/>
              </w:rPr>
            </w:pPr>
            <w:r>
              <w:rPr>
                <w:sz w:val="24"/>
                <w:szCs w:val="24"/>
              </w:rPr>
              <w:t>9.2</w:t>
            </w:r>
          </w:p>
          <w:p w:rsidR="00DC0974" w:rsidRDefault="00DC0974" w:rsidP="00295B25">
            <w:pPr>
              <w:rPr>
                <w:sz w:val="24"/>
                <w:szCs w:val="24"/>
              </w:rPr>
            </w:pPr>
          </w:p>
          <w:p w:rsidR="00EA3ECF" w:rsidRDefault="00EA3ECF" w:rsidP="00295B25">
            <w:pPr>
              <w:rPr>
                <w:sz w:val="24"/>
                <w:szCs w:val="24"/>
              </w:rPr>
            </w:pPr>
          </w:p>
        </w:tc>
        <w:tc>
          <w:tcPr>
            <w:tcW w:w="7088" w:type="dxa"/>
          </w:tcPr>
          <w:p w:rsidR="003115D2" w:rsidRDefault="00685B0A" w:rsidP="00295B25">
            <w:pPr>
              <w:rPr>
                <w:b/>
                <w:sz w:val="24"/>
                <w:szCs w:val="24"/>
              </w:rPr>
            </w:pPr>
            <w:r>
              <w:rPr>
                <w:b/>
                <w:sz w:val="24"/>
                <w:szCs w:val="24"/>
              </w:rPr>
              <w:t>Progress with Recommendations of the Browne Report</w:t>
            </w:r>
          </w:p>
          <w:p w:rsidR="00F6446E" w:rsidRDefault="00F6446E" w:rsidP="00295B25">
            <w:pPr>
              <w:rPr>
                <w:b/>
                <w:sz w:val="24"/>
                <w:szCs w:val="24"/>
              </w:rPr>
            </w:pPr>
          </w:p>
          <w:p w:rsidR="00277335" w:rsidRDefault="00685B0A" w:rsidP="00130EEC">
            <w:pPr>
              <w:rPr>
                <w:sz w:val="24"/>
                <w:szCs w:val="24"/>
              </w:rPr>
            </w:pPr>
            <w:r>
              <w:rPr>
                <w:sz w:val="24"/>
                <w:szCs w:val="24"/>
              </w:rPr>
              <w:t xml:space="preserve">The SAB welcomed the update on progress with the recommendations of the Browne Report and were satisfied that good progress continued to be made. It was agreed that, for clarity, it should be understood that the new ICC Rules had been sent to the BSB </w:t>
            </w:r>
            <w:r w:rsidR="00130EEC">
              <w:rPr>
                <w:sz w:val="24"/>
                <w:szCs w:val="24"/>
              </w:rPr>
              <w:t>in June 2015, but that the BSB (and consequentially the Legal Services’ Board) would only decide whether to grant approval or not later in the year.</w:t>
            </w:r>
          </w:p>
          <w:p w:rsidR="00130EEC" w:rsidRDefault="00130EEC" w:rsidP="00130EEC">
            <w:pPr>
              <w:rPr>
                <w:sz w:val="24"/>
                <w:szCs w:val="24"/>
              </w:rPr>
            </w:pPr>
          </w:p>
          <w:p w:rsidR="00130EEC" w:rsidRDefault="00130EEC" w:rsidP="00130EEC">
            <w:pPr>
              <w:rPr>
                <w:sz w:val="24"/>
                <w:szCs w:val="24"/>
              </w:rPr>
            </w:pPr>
            <w:r>
              <w:rPr>
                <w:sz w:val="24"/>
                <w:szCs w:val="24"/>
              </w:rPr>
              <w:t xml:space="preserve">The ‘not progressing’ recommendations concerning the payment of fees to barrister and QC members of the Disciplinary Panel were also discussed. It was reaffirmed that BTAS / COIC would not progress this issue until the BSB’s own position on the payment of fees to its volunteer counsel was determined. The </w:t>
            </w:r>
            <w:r w:rsidR="00D5386D" w:rsidRPr="005638CD">
              <w:rPr>
                <w:sz w:val="24"/>
                <w:szCs w:val="24"/>
              </w:rPr>
              <w:t xml:space="preserve">Director General of the </w:t>
            </w:r>
            <w:r w:rsidRPr="005638CD">
              <w:rPr>
                <w:sz w:val="24"/>
                <w:szCs w:val="24"/>
              </w:rPr>
              <w:t>BS</w:t>
            </w:r>
            <w:r>
              <w:rPr>
                <w:sz w:val="24"/>
                <w:szCs w:val="24"/>
              </w:rPr>
              <w:t xml:space="preserve">B confirmed that a decision on this was expected in early 2016, and the SAB agreed that the matter should then be revisited once the BSB’s decision was known. </w:t>
            </w:r>
            <w:r w:rsidR="00E16520">
              <w:rPr>
                <w:sz w:val="24"/>
                <w:szCs w:val="24"/>
              </w:rPr>
              <w:t xml:space="preserve"> </w:t>
            </w:r>
            <w:r w:rsidR="00E16520" w:rsidRPr="00205171">
              <w:rPr>
                <w:b/>
                <w:color w:val="FF0000"/>
                <w:sz w:val="24"/>
                <w:szCs w:val="24"/>
              </w:rPr>
              <w:t>Action</w:t>
            </w:r>
            <w:r w:rsidR="00E16520">
              <w:rPr>
                <w:b/>
                <w:color w:val="FF0000"/>
                <w:sz w:val="24"/>
                <w:szCs w:val="24"/>
              </w:rPr>
              <w:t xml:space="preserve"> 6: AR</w:t>
            </w:r>
            <w:r w:rsidR="00E16520" w:rsidRPr="00205171">
              <w:rPr>
                <w:color w:val="FF0000"/>
                <w:sz w:val="24"/>
                <w:szCs w:val="24"/>
              </w:rPr>
              <w:t xml:space="preserve">   </w:t>
            </w:r>
          </w:p>
          <w:p w:rsidR="00130EEC" w:rsidRDefault="00130EEC" w:rsidP="00130EEC">
            <w:pPr>
              <w:rPr>
                <w:sz w:val="24"/>
                <w:szCs w:val="24"/>
              </w:rPr>
            </w:pPr>
          </w:p>
          <w:p w:rsidR="00130EEC" w:rsidRDefault="00130EEC" w:rsidP="00130EEC">
            <w:pPr>
              <w:rPr>
                <w:sz w:val="24"/>
                <w:szCs w:val="24"/>
              </w:rPr>
            </w:pPr>
            <w:r>
              <w:rPr>
                <w:sz w:val="24"/>
                <w:szCs w:val="24"/>
              </w:rPr>
              <w:t>At the present time, the consensus view of the SAB was that it did seem appropriate for barrister / QC members of the Panel to be paid</w:t>
            </w:r>
            <w:r w:rsidR="00D5386D">
              <w:rPr>
                <w:color w:val="00B050"/>
                <w:sz w:val="24"/>
                <w:szCs w:val="24"/>
              </w:rPr>
              <w:t xml:space="preserve">. </w:t>
            </w:r>
            <w:r w:rsidR="00D5386D" w:rsidRPr="005638CD">
              <w:rPr>
                <w:sz w:val="24"/>
                <w:szCs w:val="24"/>
              </w:rPr>
              <w:t>This would reflect accepted practice within other regulatory systems.  It was important for the principle of payment to be resolved in the first instanc</w:t>
            </w:r>
            <w:r w:rsidR="005638CD">
              <w:rPr>
                <w:sz w:val="24"/>
                <w:szCs w:val="24"/>
              </w:rPr>
              <w:t xml:space="preserve">e.  Following this, determining </w:t>
            </w:r>
            <w:r>
              <w:rPr>
                <w:sz w:val="24"/>
                <w:szCs w:val="24"/>
              </w:rPr>
              <w:t>at what rate (and whether this should be the same as lay members’ fees or not)</w:t>
            </w:r>
            <w:r w:rsidR="00E16520">
              <w:rPr>
                <w:sz w:val="24"/>
                <w:szCs w:val="24"/>
              </w:rPr>
              <w:t xml:space="preserve"> would require careful consideration</w:t>
            </w:r>
            <w:r w:rsidR="000E2161">
              <w:rPr>
                <w:sz w:val="24"/>
                <w:szCs w:val="24"/>
              </w:rPr>
              <w:t xml:space="preserve"> at a future date</w:t>
            </w:r>
            <w:r w:rsidR="00E16520">
              <w:rPr>
                <w:sz w:val="24"/>
                <w:szCs w:val="24"/>
              </w:rPr>
              <w:t>. Paying all members of the Panel should be regarded as professionalising the process, and was likely to be a positive step towards increasing the diversity of the current Panel.</w:t>
            </w:r>
          </w:p>
          <w:p w:rsidR="00130EEC" w:rsidRPr="00F6446E" w:rsidRDefault="00130EEC" w:rsidP="00130EEC">
            <w:pPr>
              <w:rPr>
                <w:sz w:val="24"/>
                <w:szCs w:val="24"/>
              </w:rPr>
            </w:pPr>
          </w:p>
        </w:tc>
        <w:tc>
          <w:tcPr>
            <w:tcW w:w="1337" w:type="dxa"/>
          </w:tcPr>
          <w:p w:rsidR="003115D2" w:rsidRDefault="003115D2" w:rsidP="00295B25">
            <w:pPr>
              <w:rPr>
                <w:sz w:val="24"/>
                <w:szCs w:val="24"/>
              </w:rPr>
            </w:pPr>
          </w:p>
          <w:p w:rsidR="00F6446E" w:rsidRDefault="00F6446E" w:rsidP="00295B25">
            <w:pPr>
              <w:rPr>
                <w:sz w:val="24"/>
                <w:szCs w:val="24"/>
              </w:rPr>
            </w:pPr>
          </w:p>
          <w:p w:rsidR="00F6446E" w:rsidRPr="005E2A67" w:rsidRDefault="00685B0A" w:rsidP="00295B25">
            <w:pPr>
              <w:rPr>
                <w:sz w:val="24"/>
                <w:szCs w:val="24"/>
              </w:rPr>
            </w:pPr>
            <w:r>
              <w:rPr>
                <w:sz w:val="24"/>
                <w:szCs w:val="24"/>
              </w:rPr>
              <w:t>Annex G</w:t>
            </w:r>
          </w:p>
        </w:tc>
      </w:tr>
      <w:tr w:rsidR="00A42391" w:rsidTr="00F77D29">
        <w:trPr>
          <w:trHeight w:val="567"/>
        </w:trPr>
        <w:tc>
          <w:tcPr>
            <w:tcW w:w="817" w:type="dxa"/>
          </w:tcPr>
          <w:p w:rsidR="00A42391" w:rsidRDefault="00A42391" w:rsidP="00295B25">
            <w:pPr>
              <w:rPr>
                <w:sz w:val="24"/>
                <w:szCs w:val="24"/>
              </w:rPr>
            </w:pPr>
            <w:r>
              <w:rPr>
                <w:sz w:val="24"/>
                <w:szCs w:val="24"/>
              </w:rPr>
              <w:t>10</w:t>
            </w: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p w:rsidR="00DE2670" w:rsidRDefault="00DE2670" w:rsidP="00295B25">
            <w:pPr>
              <w:rPr>
                <w:sz w:val="24"/>
                <w:szCs w:val="24"/>
              </w:rPr>
            </w:pPr>
          </w:p>
        </w:tc>
        <w:tc>
          <w:tcPr>
            <w:tcW w:w="7088" w:type="dxa"/>
          </w:tcPr>
          <w:p w:rsidR="00A42391" w:rsidRDefault="00E16520" w:rsidP="00A42391">
            <w:pPr>
              <w:rPr>
                <w:b/>
                <w:sz w:val="24"/>
                <w:szCs w:val="24"/>
              </w:rPr>
            </w:pPr>
            <w:r>
              <w:rPr>
                <w:b/>
                <w:sz w:val="24"/>
                <w:szCs w:val="24"/>
              </w:rPr>
              <w:t>Dates of Future Meetings</w:t>
            </w:r>
          </w:p>
          <w:p w:rsidR="00A42391" w:rsidRDefault="00A42391" w:rsidP="00295B25">
            <w:pPr>
              <w:rPr>
                <w:sz w:val="24"/>
                <w:szCs w:val="24"/>
              </w:rPr>
            </w:pPr>
          </w:p>
          <w:p w:rsidR="00E16520" w:rsidRDefault="00E16520" w:rsidP="00E16520">
            <w:pPr>
              <w:rPr>
                <w:bCs/>
                <w:sz w:val="24"/>
                <w:szCs w:val="24"/>
              </w:rPr>
            </w:pPr>
            <w:r>
              <w:rPr>
                <w:bCs/>
                <w:sz w:val="24"/>
                <w:szCs w:val="24"/>
              </w:rPr>
              <w:t>Have been previously confirmed as:</w:t>
            </w:r>
          </w:p>
          <w:p w:rsidR="00E16520" w:rsidRDefault="00E16520" w:rsidP="00E16520">
            <w:pPr>
              <w:rPr>
                <w:bCs/>
                <w:sz w:val="24"/>
                <w:szCs w:val="24"/>
              </w:rPr>
            </w:pPr>
          </w:p>
          <w:p w:rsidR="00E16520" w:rsidRPr="00EA2B27" w:rsidRDefault="00E16520" w:rsidP="00E16520">
            <w:pPr>
              <w:rPr>
                <w:bCs/>
                <w:sz w:val="24"/>
                <w:szCs w:val="24"/>
              </w:rPr>
            </w:pPr>
            <w:r w:rsidRPr="00EA2B27">
              <w:rPr>
                <w:bCs/>
                <w:sz w:val="24"/>
                <w:szCs w:val="24"/>
              </w:rPr>
              <w:t>Thursday 17 September 2015 2pm – 4pm</w:t>
            </w:r>
          </w:p>
          <w:p w:rsidR="00DE2670" w:rsidRDefault="00E16520" w:rsidP="00E16520">
            <w:pPr>
              <w:rPr>
                <w:sz w:val="24"/>
                <w:szCs w:val="24"/>
              </w:rPr>
            </w:pPr>
            <w:r w:rsidRPr="00EA2B27">
              <w:rPr>
                <w:sz w:val="24"/>
                <w:szCs w:val="24"/>
              </w:rPr>
              <w:t>Wednesday 2 December 2015 2pm – 4pm</w:t>
            </w:r>
            <w:r w:rsidR="00DE2670">
              <w:rPr>
                <w:sz w:val="24"/>
                <w:szCs w:val="24"/>
              </w:rPr>
              <w:tab/>
            </w:r>
            <w:r w:rsidR="00DE2670">
              <w:rPr>
                <w:sz w:val="24"/>
                <w:szCs w:val="24"/>
              </w:rPr>
              <w:tab/>
            </w:r>
            <w:r w:rsidR="00DE2670">
              <w:rPr>
                <w:sz w:val="24"/>
                <w:szCs w:val="24"/>
              </w:rPr>
              <w:tab/>
            </w:r>
          </w:p>
          <w:p w:rsidR="005B5FA7" w:rsidRDefault="005B5FA7" w:rsidP="00DE2670">
            <w:pPr>
              <w:rPr>
                <w:sz w:val="24"/>
                <w:szCs w:val="24"/>
              </w:rPr>
            </w:pPr>
          </w:p>
          <w:p w:rsidR="00E16520" w:rsidRDefault="00E16520" w:rsidP="00E16520">
            <w:pPr>
              <w:rPr>
                <w:color w:val="FF0000"/>
                <w:sz w:val="24"/>
                <w:szCs w:val="24"/>
              </w:rPr>
            </w:pPr>
            <w:r>
              <w:rPr>
                <w:sz w:val="24"/>
                <w:szCs w:val="24"/>
              </w:rPr>
              <w:t xml:space="preserve">However, as two members present indicated they would be unable to attend on the September date, it was agreed </w:t>
            </w:r>
            <w:r w:rsidR="000E2161">
              <w:rPr>
                <w:sz w:val="24"/>
                <w:szCs w:val="24"/>
              </w:rPr>
              <w:t xml:space="preserve">that </w:t>
            </w:r>
            <w:r>
              <w:rPr>
                <w:sz w:val="24"/>
                <w:szCs w:val="24"/>
              </w:rPr>
              <w:t xml:space="preserve">the Board should be polled to determine whether changing to any other date that month </w:t>
            </w:r>
            <w:r>
              <w:rPr>
                <w:sz w:val="24"/>
                <w:szCs w:val="24"/>
              </w:rPr>
              <w:lastRenderedPageBreak/>
              <w:t xml:space="preserve">might result in higher attendance.   </w:t>
            </w:r>
            <w:r w:rsidRPr="00205171">
              <w:rPr>
                <w:b/>
                <w:color w:val="FF0000"/>
                <w:sz w:val="24"/>
                <w:szCs w:val="24"/>
              </w:rPr>
              <w:t>Action</w:t>
            </w:r>
            <w:r>
              <w:rPr>
                <w:b/>
                <w:color w:val="FF0000"/>
                <w:sz w:val="24"/>
                <w:szCs w:val="24"/>
              </w:rPr>
              <w:t xml:space="preserve"> 7: AR</w:t>
            </w:r>
            <w:r w:rsidRPr="00205171">
              <w:rPr>
                <w:color w:val="FF0000"/>
                <w:sz w:val="24"/>
                <w:szCs w:val="24"/>
              </w:rPr>
              <w:t xml:space="preserve">   </w:t>
            </w:r>
          </w:p>
          <w:p w:rsidR="00E16520" w:rsidRPr="00A42391" w:rsidRDefault="00E16520" w:rsidP="00E16520">
            <w:pPr>
              <w:rPr>
                <w:sz w:val="24"/>
                <w:szCs w:val="24"/>
              </w:rPr>
            </w:pPr>
          </w:p>
        </w:tc>
        <w:tc>
          <w:tcPr>
            <w:tcW w:w="1337" w:type="dxa"/>
          </w:tcPr>
          <w:p w:rsidR="00A42391" w:rsidRPr="005E2A67" w:rsidRDefault="00A42391" w:rsidP="00295B25">
            <w:pPr>
              <w:rPr>
                <w:sz w:val="24"/>
                <w:szCs w:val="24"/>
              </w:rPr>
            </w:pPr>
          </w:p>
        </w:tc>
      </w:tr>
      <w:tr w:rsidR="00A42391" w:rsidTr="00F77D29">
        <w:trPr>
          <w:trHeight w:val="567"/>
        </w:trPr>
        <w:tc>
          <w:tcPr>
            <w:tcW w:w="817" w:type="dxa"/>
          </w:tcPr>
          <w:p w:rsidR="00A42391" w:rsidRDefault="00A42391" w:rsidP="00295B25">
            <w:pPr>
              <w:rPr>
                <w:sz w:val="24"/>
                <w:szCs w:val="24"/>
              </w:rPr>
            </w:pPr>
            <w:r>
              <w:rPr>
                <w:sz w:val="24"/>
                <w:szCs w:val="24"/>
              </w:rPr>
              <w:lastRenderedPageBreak/>
              <w:t>11</w:t>
            </w:r>
          </w:p>
        </w:tc>
        <w:tc>
          <w:tcPr>
            <w:tcW w:w="7088" w:type="dxa"/>
          </w:tcPr>
          <w:p w:rsidR="00DE2670" w:rsidRDefault="00E16520" w:rsidP="00DE2670">
            <w:pPr>
              <w:rPr>
                <w:b/>
                <w:sz w:val="24"/>
                <w:szCs w:val="24"/>
              </w:rPr>
            </w:pPr>
            <w:r>
              <w:rPr>
                <w:b/>
                <w:sz w:val="24"/>
                <w:szCs w:val="24"/>
              </w:rPr>
              <w:t>Any Other Business</w:t>
            </w:r>
          </w:p>
          <w:p w:rsidR="00E16520" w:rsidRDefault="00E16520" w:rsidP="00DE2670">
            <w:pPr>
              <w:rPr>
                <w:b/>
                <w:sz w:val="24"/>
                <w:szCs w:val="24"/>
              </w:rPr>
            </w:pPr>
          </w:p>
          <w:p w:rsidR="00365FAE" w:rsidRDefault="00E16520" w:rsidP="00DE2670">
            <w:pPr>
              <w:rPr>
                <w:sz w:val="24"/>
                <w:szCs w:val="24"/>
              </w:rPr>
            </w:pPr>
            <w:r>
              <w:rPr>
                <w:sz w:val="24"/>
                <w:szCs w:val="24"/>
              </w:rPr>
              <w:t>Th</w:t>
            </w:r>
            <w:r w:rsidRPr="00E16520">
              <w:rPr>
                <w:sz w:val="24"/>
                <w:szCs w:val="24"/>
              </w:rPr>
              <w:t>e Registrar</w:t>
            </w:r>
            <w:r>
              <w:rPr>
                <w:sz w:val="24"/>
                <w:szCs w:val="24"/>
              </w:rPr>
              <w:t xml:space="preserve"> informed the Committee that the BSB was about to launch a consultation on changes to the </w:t>
            </w:r>
            <w:r>
              <w:rPr>
                <w:i/>
                <w:sz w:val="24"/>
                <w:szCs w:val="24"/>
              </w:rPr>
              <w:t>Disciplinary Tribunal Regulations</w:t>
            </w:r>
            <w:r w:rsidR="00365FAE">
              <w:rPr>
                <w:sz w:val="24"/>
                <w:szCs w:val="24"/>
              </w:rPr>
              <w:t>, which would potentially impact on a number of areas of BTAS’s work</w:t>
            </w:r>
            <w:r w:rsidR="000E2161">
              <w:rPr>
                <w:sz w:val="24"/>
                <w:szCs w:val="24"/>
              </w:rPr>
              <w:t>,</w:t>
            </w:r>
            <w:r w:rsidR="00365FAE">
              <w:rPr>
                <w:sz w:val="24"/>
                <w:szCs w:val="24"/>
              </w:rPr>
              <w:t xml:space="preserve"> and invite comments on a number of areas that the SAB had previously expressed an interest in (such as a change from 5- to all 3-person Panels: </w:t>
            </w:r>
            <w:r w:rsidR="00365FAE" w:rsidRPr="00365FAE">
              <w:rPr>
                <w:i/>
                <w:sz w:val="24"/>
                <w:szCs w:val="24"/>
              </w:rPr>
              <w:t>Minute</w:t>
            </w:r>
            <w:r w:rsidR="00365FAE">
              <w:rPr>
                <w:i/>
                <w:sz w:val="24"/>
                <w:szCs w:val="24"/>
              </w:rPr>
              <w:t xml:space="preserve"> 5.2</w:t>
            </w:r>
            <w:r w:rsidR="000E2161">
              <w:rPr>
                <w:i/>
                <w:sz w:val="24"/>
                <w:szCs w:val="24"/>
              </w:rPr>
              <w:t>,</w:t>
            </w:r>
            <w:r w:rsidR="00365FAE">
              <w:rPr>
                <w:i/>
                <w:sz w:val="24"/>
                <w:szCs w:val="24"/>
              </w:rPr>
              <w:t xml:space="preserve"> 04.12.14 refers</w:t>
            </w:r>
            <w:r w:rsidR="00365FAE">
              <w:rPr>
                <w:sz w:val="24"/>
                <w:szCs w:val="24"/>
              </w:rPr>
              <w:t>).</w:t>
            </w:r>
          </w:p>
          <w:p w:rsidR="00365FAE" w:rsidRDefault="00365FAE" w:rsidP="00DE2670">
            <w:pPr>
              <w:rPr>
                <w:sz w:val="24"/>
                <w:szCs w:val="24"/>
              </w:rPr>
            </w:pPr>
          </w:p>
          <w:p w:rsidR="00C60D5C" w:rsidRDefault="00365FAE" w:rsidP="00DE2670">
            <w:pPr>
              <w:rPr>
                <w:color w:val="FF0000"/>
                <w:sz w:val="24"/>
                <w:szCs w:val="24"/>
              </w:rPr>
            </w:pPr>
            <w:r>
              <w:rPr>
                <w:sz w:val="24"/>
                <w:szCs w:val="24"/>
              </w:rPr>
              <w:t xml:space="preserve">The SAB agreed that it would like to have sight of the Consultation Paper and the opportunity to properly discuss it. It could then determine whether and how it would like to submit a response, keeping in mind that it was important that the SAB’s views </w:t>
            </w:r>
            <w:r w:rsidR="00BE5497" w:rsidRPr="005638CD">
              <w:rPr>
                <w:sz w:val="24"/>
                <w:szCs w:val="24"/>
              </w:rPr>
              <w:t xml:space="preserve">were coordinated with </w:t>
            </w:r>
            <w:r>
              <w:rPr>
                <w:sz w:val="24"/>
                <w:szCs w:val="24"/>
              </w:rPr>
              <w:t>those of COIC. It was noted that as the closing date for the consultation was expected to be in October [</w:t>
            </w:r>
            <w:r>
              <w:rPr>
                <w:b/>
                <w:sz w:val="24"/>
                <w:szCs w:val="24"/>
              </w:rPr>
              <w:t xml:space="preserve">Post-meeting note: </w:t>
            </w:r>
            <w:r>
              <w:rPr>
                <w:sz w:val="24"/>
                <w:szCs w:val="24"/>
              </w:rPr>
              <w:t>The closing date has been confirmed as 12 October 2015] it would be feasible for the SAB to discuss the</w:t>
            </w:r>
            <w:r w:rsidR="00C60D5C">
              <w:rPr>
                <w:sz w:val="24"/>
                <w:szCs w:val="24"/>
              </w:rPr>
              <w:t xml:space="preserve"> consultation in September, and then feed its views either to COIC or the BSB as would be most appropriate. To ensure there was sufficient time for discussion it was agreed that this meeting be lengthened to 3½ hours (with a lunch provided if appropriate). </w:t>
            </w:r>
            <w:r w:rsidR="00C60D5C" w:rsidRPr="00205171">
              <w:rPr>
                <w:b/>
                <w:color w:val="FF0000"/>
                <w:sz w:val="24"/>
                <w:szCs w:val="24"/>
              </w:rPr>
              <w:t>Action</w:t>
            </w:r>
            <w:r w:rsidR="00C60D5C">
              <w:rPr>
                <w:b/>
                <w:color w:val="FF0000"/>
                <w:sz w:val="24"/>
                <w:szCs w:val="24"/>
              </w:rPr>
              <w:t xml:space="preserve"> 8: AR</w:t>
            </w:r>
            <w:r w:rsidR="00C60D5C" w:rsidRPr="00205171">
              <w:rPr>
                <w:color w:val="FF0000"/>
                <w:sz w:val="24"/>
                <w:szCs w:val="24"/>
              </w:rPr>
              <w:t xml:space="preserve">   </w:t>
            </w:r>
          </w:p>
          <w:p w:rsidR="00C60D5C" w:rsidRDefault="00C60D5C" w:rsidP="00DE2670">
            <w:pPr>
              <w:rPr>
                <w:color w:val="FF0000"/>
                <w:sz w:val="24"/>
                <w:szCs w:val="24"/>
              </w:rPr>
            </w:pPr>
          </w:p>
          <w:p w:rsidR="00E16520" w:rsidRPr="00E16520" w:rsidRDefault="00C60D5C" w:rsidP="00DE2670">
            <w:pPr>
              <w:rPr>
                <w:sz w:val="24"/>
                <w:szCs w:val="24"/>
              </w:rPr>
            </w:pPr>
            <w:r w:rsidRPr="005638CD">
              <w:rPr>
                <w:sz w:val="24"/>
                <w:szCs w:val="24"/>
              </w:rPr>
              <w:t xml:space="preserve">It was also agreed that any </w:t>
            </w:r>
            <w:r w:rsidR="00BE5497" w:rsidRPr="005638CD">
              <w:rPr>
                <w:sz w:val="24"/>
                <w:szCs w:val="24"/>
              </w:rPr>
              <w:t xml:space="preserve">potential </w:t>
            </w:r>
            <w:r w:rsidRPr="005638CD">
              <w:rPr>
                <w:sz w:val="24"/>
                <w:szCs w:val="24"/>
              </w:rPr>
              <w:t xml:space="preserve">conflict of interest </w:t>
            </w:r>
            <w:r w:rsidR="00BE5497" w:rsidRPr="005638CD">
              <w:rPr>
                <w:sz w:val="24"/>
                <w:szCs w:val="24"/>
              </w:rPr>
              <w:t xml:space="preserve">relating to the BSB </w:t>
            </w:r>
            <w:r w:rsidRPr="005638CD">
              <w:rPr>
                <w:sz w:val="24"/>
                <w:szCs w:val="24"/>
              </w:rPr>
              <w:t>participating in any such discussions</w:t>
            </w:r>
            <w:r w:rsidR="00BE5497" w:rsidRPr="005638CD">
              <w:rPr>
                <w:sz w:val="24"/>
                <w:szCs w:val="24"/>
              </w:rPr>
              <w:t xml:space="preserve"> would need to be avoided</w:t>
            </w:r>
            <w:r w:rsidRPr="005638CD">
              <w:rPr>
                <w:sz w:val="24"/>
                <w:szCs w:val="24"/>
              </w:rPr>
              <w:t xml:space="preserve">. </w:t>
            </w:r>
            <w:r w:rsidRPr="00C60D5C">
              <w:rPr>
                <w:b/>
                <w:color w:val="FF0000"/>
                <w:sz w:val="24"/>
                <w:szCs w:val="24"/>
              </w:rPr>
              <w:t>Action 9</w:t>
            </w:r>
            <w:r>
              <w:rPr>
                <w:b/>
                <w:color w:val="FF0000"/>
                <w:sz w:val="24"/>
                <w:szCs w:val="24"/>
              </w:rPr>
              <w:t xml:space="preserve">: </w:t>
            </w:r>
            <w:r w:rsidR="00BE5497" w:rsidRPr="005638CD">
              <w:rPr>
                <w:b/>
                <w:color w:val="FF0000"/>
                <w:sz w:val="24"/>
                <w:szCs w:val="24"/>
              </w:rPr>
              <w:t xml:space="preserve">CD, JW, </w:t>
            </w:r>
            <w:r w:rsidRPr="005638CD">
              <w:rPr>
                <w:b/>
                <w:color w:val="FF0000"/>
                <w:sz w:val="24"/>
                <w:szCs w:val="24"/>
              </w:rPr>
              <w:t>MC, VD and NW</w:t>
            </w:r>
            <w:r w:rsidR="00365FAE" w:rsidRPr="005638CD">
              <w:rPr>
                <w:color w:val="FF0000"/>
                <w:sz w:val="24"/>
                <w:szCs w:val="24"/>
              </w:rPr>
              <w:t xml:space="preserve">   </w:t>
            </w:r>
          </w:p>
          <w:p w:rsidR="00A42391" w:rsidRDefault="00A42391" w:rsidP="00E16520">
            <w:pPr>
              <w:rPr>
                <w:b/>
                <w:sz w:val="24"/>
                <w:szCs w:val="24"/>
              </w:rPr>
            </w:pPr>
          </w:p>
        </w:tc>
        <w:tc>
          <w:tcPr>
            <w:tcW w:w="1337" w:type="dxa"/>
          </w:tcPr>
          <w:p w:rsidR="00A42391" w:rsidRDefault="00A42391" w:rsidP="00295B25">
            <w:pPr>
              <w:rPr>
                <w:sz w:val="24"/>
                <w:szCs w:val="24"/>
              </w:rPr>
            </w:pPr>
          </w:p>
          <w:p w:rsidR="00253B33" w:rsidRDefault="00253B33" w:rsidP="00295B25">
            <w:pPr>
              <w:rPr>
                <w:sz w:val="24"/>
                <w:szCs w:val="24"/>
              </w:rPr>
            </w:pPr>
          </w:p>
          <w:p w:rsidR="00253B33" w:rsidRPr="005E2A67" w:rsidRDefault="00253B33" w:rsidP="00295B25">
            <w:pPr>
              <w:rPr>
                <w:sz w:val="24"/>
                <w:szCs w:val="24"/>
              </w:rPr>
            </w:pPr>
          </w:p>
        </w:tc>
      </w:tr>
    </w:tbl>
    <w:p w:rsidR="005E2A67" w:rsidRPr="005E2A67" w:rsidRDefault="005E2A67" w:rsidP="00DD3DC9">
      <w:pPr>
        <w:rPr>
          <w:b/>
          <w:sz w:val="24"/>
          <w:szCs w:val="24"/>
        </w:rPr>
      </w:pPr>
    </w:p>
    <w:sectPr w:rsidR="005E2A67" w:rsidRPr="005E2A67" w:rsidSect="00DD3DC9">
      <w:footerReference w:type="default" r:id="rId9"/>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5A87" w:rsidRDefault="00345A87" w:rsidP="00C0170B">
      <w:pPr>
        <w:spacing w:after="0" w:line="240" w:lineRule="auto"/>
      </w:pPr>
      <w:r>
        <w:separator/>
      </w:r>
    </w:p>
  </w:endnote>
  <w:endnote w:type="continuationSeparator" w:id="0">
    <w:p w:rsidR="00345A87" w:rsidRDefault="00345A87" w:rsidP="00C01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7916552"/>
      <w:docPartObj>
        <w:docPartGallery w:val="Page Numbers (Bottom of Page)"/>
        <w:docPartUnique/>
      </w:docPartObj>
    </w:sdtPr>
    <w:sdtEndPr>
      <w:rPr>
        <w:noProof/>
      </w:rPr>
    </w:sdtEndPr>
    <w:sdtContent>
      <w:p w:rsidR="00EA3ECF" w:rsidRDefault="00EA3ECF">
        <w:pPr>
          <w:pStyle w:val="Footer"/>
          <w:jc w:val="center"/>
        </w:pPr>
        <w:r>
          <w:fldChar w:fldCharType="begin"/>
        </w:r>
        <w:r>
          <w:instrText xml:space="preserve"> PAGE   \* MERGEFORMAT </w:instrText>
        </w:r>
        <w:r>
          <w:fldChar w:fldCharType="separate"/>
        </w:r>
        <w:r w:rsidR="00F354E1">
          <w:rPr>
            <w:noProof/>
          </w:rPr>
          <w:t>3</w:t>
        </w:r>
        <w:r>
          <w:rPr>
            <w:noProof/>
          </w:rPr>
          <w:fldChar w:fldCharType="end"/>
        </w:r>
      </w:p>
    </w:sdtContent>
  </w:sdt>
  <w:p w:rsidR="00EA3ECF" w:rsidRDefault="00EA3E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5A87" w:rsidRDefault="00345A87" w:rsidP="00C0170B">
      <w:pPr>
        <w:spacing w:after="0" w:line="240" w:lineRule="auto"/>
      </w:pPr>
      <w:r>
        <w:separator/>
      </w:r>
    </w:p>
  </w:footnote>
  <w:footnote w:type="continuationSeparator" w:id="0">
    <w:p w:rsidR="00345A87" w:rsidRDefault="00345A87" w:rsidP="00C0170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51437D"/>
    <w:multiLevelType w:val="hybridMultilevel"/>
    <w:tmpl w:val="86C25B4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FAF44FD"/>
    <w:multiLevelType w:val="hybridMultilevel"/>
    <w:tmpl w:val="AC7A55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B1332DE"/>
    <w:multiLevelType w:val="hybridMultilevel"/>
    <w:tmpl w:val="3940C5D2"/>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E194321"/>
    <w:multiLevelType w:val="hybridMultilevel"/>
    <w:tmpl w:val="27067F86"/>
    <w:lvl w:ilvl="0" w:tplc="0809001B">
      <w:start w:val="1"/>
      <w:numFmt w:val="low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499A5271"/>
    <w:multiLevelType w:val="hybridMultilevel"/>
    <w:tmpl w:val="774C29BA"/>
    <w:lvl w:ilvl="0" w:tplc="310C2482">
      <w:start w:val="1"/>
      <w:numFmt w:val="low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637E1C05"/>
    <w:multiLevelType w:val="hybridMultilevel"/>
    <w:tmpl w:val="6DA6D04E"/>
    <w:lvl w:ilvl="0" w:tplc="BA140502">
      <w:start w:val="1"/>
      <w:numFmt w:val="lowerRoman"/>
      <w:lvlText w:val="(%1)"/>
      <w:lvlJc w:val="left"/>
      <w:pPr>
        <w:ind w:left="720" w:hanging="72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781E72D3"/>
    <w:multiLevelType w:val="hybridMultilevel"/>
    <w:tmpl w:val="5EFA28A8"/>
    <w:lvl w:ilvl="0" w:tplc="F1586FAA">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A67"/>
    <w:rsid w:val="00017A6A"/>
    <w:rsid w:val="0005246F"/>
    <w:rsid w:val="00055DB1"/>
    <w:rsid w:val="000A7A8A"/>
    <w:rsid w:val="000C260D"/>
    <w:rsid w:val="000E2161"/>
    <w:rsid w:val="00104DDF"/>
    <w:rsid w:val="00116EB5"/>
    <w:rsid w:val="00130EEC"/>
    <w:rsid w:val="00134AE5"/>
    <w:rsid w:val="00151E7F"/>
    <w:rsid w:val="001609B3"/>
    <w:rsid w:val="001858E1"/>
    <w:rsid w:val="001C1FE5"/>
    <w:rsid w:val="001D28F0"/>
    <w:rsid w:val="001D44CD"/>
    <w:rsid w:val="00205171"/>
    <w:rsid w:val="00214421"/>
    <w:rsid w:val="00220C72"/>
    <w:rsid w:val="002262B8"/>
    <w:rsid w:val="00253B33"/>
    <w:rsid w:val="00275345"/>
    <w:rsid w:val="00277335"/>
    <w:rsid w:val="00295B25"/>
    <w:rsid w:val="002A1920"/>
    <w:rsid w:val="002E3B1D"/>
    <w:rsid w:val="002E57E5"/>
    <w:rsid w:val="002F0A41"/>
    <w:rsid w:val="003115D2"/>
    <w:rsid w:val="0032683D"/>
    <w:rsid w:val="00344F5A"/>
    <w:rsid w:val="00345A87"/>
    <w:rsid w:val="0034661E"/>
    <w:rsid w:val="00350E51"/>
    <w:rsid w:val="00365FAE"/>
    <w:rsid w:val="003674B5"/>
    <w:rsid w:val="00384732"/>
    <w:rsid w:val="00391759"/>
    <w:rsid w:val="003A3635"/>
    <w:rsid w:val="003D4DF8"/>
    <w:rsid w:val="003E7F50"/>
    <w:rsid w:val="00405FD9"/>
    <w:rsid w:val="004127F2"/>
    <w:rsid w:val="0042272E"/>
    <w:rsid w:val="004327C4"/>
    <w:rsid w:val="00451E77"/>
    <w:rsid w:val="004608F5"/>
    <w:rsid w:val="00465BA8"/>
    <w:rsid w:val="00473C71"/>
    <w:rsid w:val="00482183"/>
    <w:rsid w:val="004A15A9"/>
    <w:rsid w:val="004A3842"/>
    <w:rsid w:val="004A6EB7"/>
    <w:rsid w:val="004C624E"/>
    <w:rsid w:val="004E7964"/>
    <w:rsid w:val="004F08EA"/>
    <w:rsid w:val="0050045C"/>
    <w:rsid w:val="00552C83"/>
    <w:rsid w:val="005638CD"/>
    <w:rsid w:val="005B5FA7"/>
    <w:rsid w:val="005C34AD"/>
    <w:rsid w:val="005E2A67"/>
    <w:rsid w:val="005F14A1"/>
    <w:rsid w:val="006014EC"/>
    <w:rsid w:val="006178FC"/>
    <w:rsid w:val="00617A17"/>
    <w:rsid w:val="0062714C"/>
    <w:rsid w:val="006311F1"/>
    <w:rsid w:val="00631793"/>
    <w:rsid w:val="00671B36"/>
    <w:rsid w:val="00675DE1"/>
    <w:rsid w:val="00685B0A"/>
    <w:rsid w:val="006A65FB"/>
    <w:rsid w:val="006B76AE"/>
    <w:rsid w:val="006F1AD8"/>
    <w:rsid w:val="00734D50"/>
    <w:rsid w:val="007364DA"/>
    <w:rsid w:val="007469FD"/>
    <w:rsid w:val="00776C62"/>
    <w:rsid w:val="007A5EDA"/>
    <w:rsid w:val="007A7044"/>
    <w:rsid w:val="007A778C"/>
    <w:rsid w:val="007B3D02"/>
    <w:rsid w:val="007C110F"/>
    <w:rsid w:val="007C6BE4"/>
    <w:rsid w:val="007D3951"/>
    <w:rsid w:val="008001C3"/>
    <w:rsid w:val="00836F41"/>
    <w:rsid w:val="00842AFF"/>
    <w:rsid w:val="00866B25"/>
    <w:rsid w:val="00876A94"/>
    <w:rsid w:val="00880284"/>
    <w:rsid w:val="00892E8D"/>
    <w:rsid w:val="008959D1"/>
    <w:rsid w:val="008D0543"/>
    <w:rsid w:val="008D110E"/>
    <w:rsid w:val="008D17D5"/>
    <w:rsid w:val="00924EFB"/>
    <w:rsid w:val="009275C7"/>
    <w:rsid w:val="00930DB1"/>
    <w:rsid w:val="009936FF"/>
    <w:rsid w:val="009D313A"/>
    <w:rsid w:val="009D374F"/>
    <w:rsid w:val="009F1307"/>
    <w:rsid w:val="00A42391"/>
    <w:rsid w:val="00A44D03"/>
    <w:rsid w:val="00A47ECB"/>
    <w:rsid w:val="00A93590"/>
    <w:rsid w:val="00A97B05"/>
    <w:rsid w:val="00AA58A1"/>
    <w:rsid w:val="00AB103E"/>
    <w:rsid w:val="00AE1D27"/>
    <w:rsid w:val="00AE5D93"/>
    <w:rsid w:val="00AF1788"/>
    <w:rsid w:val="00AF4F4D"/>
    <w:rsid w:val="00AF63DF"/>
    <w:rsid w:val="00B24564"/>
    <w:rsid w:val="00B25958"/>
    <w:rsid w:val="00B31E5C"/>
    <w:rsid w:val="00B62673"/>
    <w:rsid w:val="00B948CB"/>
    <w:rsid w:val="00BC70D4"/>
    <w:rsid w:val="00BC718C"/>
    <w:rsid w:val="00BE5497"/>
    <w:rsid w:val="00BE585C"/>
    <w:rsid w:val="00C0170B"/>
    <w:rsid w:val="00C517F6"/>
    <w:rsid w:val="00C5612C"/>
    <w:rsid w:val="00C60D5C"/>
    <w:rsid w:val="00C627C0"/>
    <w:rsid w:val="00C8353F"/>
    <w:rsid w:val="00CE6029"/>
    <w:rsid w:val="00CF73B8"/>
    <w:rsid w:val="00D008BB"/>
    <w:rsid w:val="00D05333"/>
    <w:rsid w:val="00D0657E"/>
    <w:rsid w:val="00D24DAB"/>
    <w:rsid w:val="00D24FFD"/>
    <w:rsid w:val="00D5386D"/>
    <w:rsid w:val="00D53A1D"/>
    <w:rsid w:val="00D802E1"/>
    <w:rsid w:val="00DA66E5"/>
    <w:rsid w:val="00DC0974"/>
    <w:rsid w:val="00DD3DC9"/>
    <w:rsid w:val="00DE2670"/>
    <w:rsid w:val="00DE5421"/>
    <w:rsid w:val="00DF1213"/>
    <w:rsid w:val="00DF3B8A"/>
    <w:rsid w:val="00DF64D7"/>
    <w:rsid w:val="00E12CEF"/>
    <w:rsid w:val="00E16520"/>
    <w:rsid w:val="00E310D9"/>
    <w:rsid w:val="00E34A60"/>
    <w:rsid w:val="00E6165E"/>
    <w:rsid w:val="00E85175"/>
    <w:rsid w:val="00E91293"/>
    <w:rsid w:val="00E9292C"/>
    <w:rsid w:val="00E97507"/>
    <w:rsid w:val="00EA08B6"/>
    <w:rsid w:val="00EA3ECF"/>
    <w:rsid w:val="00EA7374"/>
    <w:rsid w:val="00EC617B"/>
    <w:rsid w:val="00ED2639"/>
    <w:rsid w:val="00ED474D"/>
    <w:rsid w:val="00EF16BF"/>
    <w:rsid w:val="00F233A4"/>
    <w:rsid w:val="00F273ED"/>
    <w:rsid w:val="00F354E1"/>
    <w:rsid w:val="00F50C01"/>
    <w:rsid w:val="00F62A2B"/>
    <w:rsid w:val="00F6446E"/>
    <w:rsid w:val="00F77D29"/>
    <w:rsid w:val="00F83733"/>
    <w:rsid w:val="00F9460B"/>
    <w:rsid w:val="00F95599"/>
    <w:rsid w:val="00FA0A60"/>
    <w:rsid w:val="00FB1659"/>
    <w:rsid w:val="00FB631B"/>
    <w:rsid w:val="00FC12E7"/>
    <w:rsid w:val="00FD02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 w:type="paragraph" w:styleId="PlainText">
    <w:name w:val="Plain Text"/>
    <w:basedOn w:val="Normal"/>
    <w:link w:val="PlainTextChar"/>
    <w:uiPriority w:val="99"/>
    <w:semiHidden/>
    <w:unhideWhenUsed/>
    <w:rsid w:val="007A5E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EDA"/>
    <w:rPr>
      <w:rFonts w:ascii="Calibri" w:hAnsi="Calibri"/>
      <w:szCs w:val="21"/>
    </w:rPr>
  </w:style>
  <w:style w:type="paragraph" w:styleId="NoSpacing">
    <w:name w:val="No Spacing"/>
    <w:uiPriority w:val="1"/>
    <w:qFormat/>
    <w:rsid w:val="00350E51"/>
    <w:pPr>
      <w:spacing w:after="0" w:line="240" w:lineRule="auto"/>
      <w:jc w:val="both"/>
    </w:pPr>
    <w:rPr>
      <w:rFonts w:ascii="Times New Roman" w:eastAsia="Times New Roman" w:hAnsi="Times New Roman" w:cs="Calibri"/>
      <w:sz w:val="24"/>
      <w:lang w:eastAsia="en-GB"/>
    </w:rPr>
  </w:style>
  <w:style w:type="paragraph" w:customStyle="1" w:styleId="yiv1194566644msonormal">
    <w:name w:val="yiv1194566644msonormal"/>
    <w:basedOn w:val="Normal"/>
    <w:rsid w:val="004A6E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A6E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E2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A67"/>
    <w:rPr>
      <w:rFonts w:ascii="Tahoma" w:hAnsi="Tahoma" w:cs="Tahoma"/>
      <w:sz w:val="16"/>
      <w:szCs w:val="16"/>
    </w:rPr>
  </w:style>
  <w:style w:type="table" w:styleId="TableGrid">
    <w:name w:val="Table Grid"/>
    <w:basedOn w:val="TableNormal"/>
    <w:uiPriority w:val="59"/>
    <w:rsid w:val="005E2A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292C"/>
    <w:pPr>
      <w:ind w:left="720"/>
      <w:contextualSpacing/>
    </w:pPr>
  </w:style>
  <w:style w:type="paragraph" w:styleId="Header">
    <w:name w:val="header"/>
    <w:basedOn w:val="Normal"/>
    <w:link w:val="HeaderChar"/>
    <w:uiPriority w:val="99"/>
    <w:unhideWhenUsed/>
    <w:rsid w:val="00C017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170B"/>
  </w:style>
  <w:style w:type="paragraph" w:styleId="Footer">
    <w:name w:val="footer"/>
    <w:basedOn w:val="Normal"/>
    <w:link w:val="FooterChar"/>
    <w:uiPriority w:val="99"/>
    <w:unhideWhenUsed/>
    <w:rsid w:val="00C017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170B"/>
  </w:style>
  <w:style w:type="paragraph" w:styleId="PlainText">
    <w:name w:val="Plain Text"/>
    <w:basedOn w:val="Normal"/>
    <w:link w:val="PlainTextChar"/>
    <w:uiPriority w:val="99"/>
    <w:semiHidden/>
    <w:unhideWhenUsed/>
    <w:rsid w:val="007A5ED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7A5EDA"/>
    <w:rPr>
      <w:rFonts w:ascii="Calibri" w:hAnsi="Calibri"/>
      <w:szCs w:val="21"/>
    </w:rPr>
  </w:style>
  <w:style w:type="paragraph" w:styleId="NoSpacing">
    <w:name w:val="No Spacing"/>
    <w:uiPriority w:val="1"/>
    <w:qFormat/>
    <w:rsid w:val="00350E51"/>
    <w:pPr>
      <w:spacing w:after="0" w:line="240" w:lineRule="auto"/>
      <w:jc w:val="both"/>
    </w:pPr>
    <w:rPr>
      <w:rFonts w:ascii="Times New Roman" w:eastAsia="Times New Roman" w:hAnsi="Times New Roman" w:cs="Calibri"/>
      <w:sz w:val="24"/>
      <w:lang w:eastAsia="en-GB"/>
    </w:rPr>
  </w:style>
  <w:style w:type="paragraph" w:customStyle="1" w:styleId="yiv1194566644msonormal">
    <w:name w:val="yiv1194566644msonormal"/>
    <w:basedOn w:val="Normal"/>
    <w:rsid w:val="004A6EB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4A6E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1092144">
      <w:bodyDiv w:val="1"/>
      <w:marLeft w:val="0"/>
      <w:marRight w:val="0"/>
      <w:marTop w:val="0"/>
      <w:marBottom w:val="0"/>
      <w:divBdr>
        <w:top w:val="none" w:sz="0" w:space="0" w:color="auto"/>
        <w:left w:val="none" w:sz="0" w:space="0" w:color="auto"/>
        <w:bottom w:val="none" w:sz="0" w:space="0" w:color="auto"/>
        <w:right w:val="none" w:sz="0" w:space="0" w:color="auto"/>
      </w:divBdr>
    </w:div>
    <w:div w:id="177505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1487</Words>
  <Characters>8478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Russell</dc:creator>
  <cp:lastModifiedBy>Andy Russell</cp:lastModifiedBy>
  <cp:revision>2</cp:revision>
  <cp:lastPrinted>2015-07-09T14:20:00Z</cp:lastPrinted>
  <dcterms:created xsi:type="dcterms:W3CDTF">2015-10-13T09:57:00Z</dcterms:created>
  <dcterms:modified xsi:type="dcterms:W3CDTF">2015-10-13T09:57:00Z</dcterms:modified>
</cp:coreProperties>
</file>